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B0C5" w14:textId="77777777" w:rsidR="00662AFF" w:rsidRPr="00A64F4C" w:rsidRDefault="00662AFF" w:rsidP="00662AFF">
      <w:pPr>
        <w:tabs>
          <w:tab w:val="left" w:pos="2745"/>
        </w:tabs>
        <w:jc w:val="center"/>
        <w:rPr>
          <w:rFonts w:ascii="Helvetica Light" w:hAnsi="Helvetica Light" w:cs="Arial"/>
        </w:rPr>
      </w:pPr>
    </w:p>
    <w:p w14:paraId="654B50FA" w14:textId="77777777" w:rsidR="00662AFF" w:rsidRPr="00A64F4C" w:rsidRDefault="00662AFF" w:rsidP="00662AFF">
      <w:pPr>
        <w:tabs>
          <w:tab w:val="left" w:pos="2745"/>
        </w:tabs>
        <w:jc w:val="center"/>
        <w:rPr>
          <w:rFonts w:ascii="Helvetica" w:hAnsi="Helvetica" w:cs="Arial"/>
          <w:b/>
          <w:bCs/>
        </w:rPr>
      </w:pPr>
      <w:r w:rsidRPr="00A64F4C">
        <w:rPr>
          <w:rFonts w:ascii="Helvetica" w:hAnsi="Helvetica" w:cs="Arial"/>
          <w:b/>
          <w:bCs/>
        </w:rPr>
        <w:t>REPORTE DE INFORMACIÓN</w:t>
      </w:r>
    </w:p>
    <w:p w14:paraId="156E77BD" w14:textId="77777777" w:rsidR="00662AFF" w:rsidRPr="00A64F4C" w:rsidRDefault="00662AFF" w:rsidP="00662AFF">
      <w:pPr>
        <w:tabs>
          <w:tab w:val="left" w:pos="2745"/>
        </w:tabs>
        <w:jc w:val="center"/>
        <w:rPr>
          <w:rFonts w:ascii="Helvetica" w:hAnsi="Helvetica" w:cs="Arial"/>
          <w:b/>
          <w:bCs/>
          <w:color w:val="FF0000"/>
        </w:rPr>
      </w:pPr>
    </w:p>
    <w:p w14:paraId="49F45D3C" w14:textId="77777777" w:rsidR="00662AFF" w:rsidRPr="00A64F4C" w:rsidRDefault="00662AFF" w:rsidP="00662AFF">
      <w:pPr>
        <w:tabs>
          <w:tab w:val="left" w:pos="2745"/>
        </w:tabs>
        <w:jc w:val="center"/>
        <w:rPr>
          <w:rFonts w:ascii="Helvetica" w:hAnsi="Helvetica" w:cs="Arial"/>
          <w:b/>
          <w:bCs/>
        </w:rPr>
      </w:pPr>
      <w:r w:rsidRPr="00A64F4C">
        <w:rPr>
          <w:rFonts w:ascii="Helvetica" w:hAnsi="Helvetica" w:cs="Arial"/>
          <w:b/>
          <w:bCs/>
        </w:rPr>
        <w:t>CUMPLIMIENTO ACCIÓN 2.35 DEL CONPES 4005 DE 2020 “POLÍTICA NACIONAL DE INCLUSIÓN Y EDUCACIÓN ECONÓMICA Y FINANCIERA”</w:t>
      </w:r>
    </w:p>
    <w:p w14:paraId="3EA99CE4" w14:textId="77777777" w:rsidR="00662AFF" w:rsidRPr="00A64F4C" w:rsidRDefault="00662AFF" w:rsidP="00662AFF">
      <w:pPr>
        <w:tabs>
          <w:tab w:val="left" w:pos="2745"/>
        </w:tabs>
        <w:jc w:val="both"/>
        <w:rPr>
          <w:rFonts w:ascii="Helvetica Light" w:hAnsi="Helvetica Light" w:cs="Arial"/>
        </w:rPr>
      </w:pPr>
    </w:p>
    <w:p w14:paraId="0BF4A55B" w14:textId="77777777" w:rsidR="00662AFF" w:rsidRPr="00A64F4C" w:rsidRDefault="00662AFF" w:rsidP="00662AFF">
      <w:pPr>
        <w:tabs>
          <w:tab w:val="left" w:pos="2745"/>
        </w:tabs>
        <w:jc w:val="both"/>
        <w:rPr>
          <w:rFonts w:ascii="Helvetica Light" w:hAnsi="Helvetica Light" w:cs="Arial"/>
        </w:rPr>
      </w:pPr>
      <w:r w:rsidRPr="00A64F4C">
        <w:rPr>
          <w:rFonts w:ascii="Helvetica Light" w:hAnsi="Helvetica Light" w:cs="Arial"/>
        </w:rPr>
        <w:t xml:space="preserve">El Documento CONPES 4005 de 2020 “POLÍTICA NACIONAL DE INCLUSIÓN Y EDUCACIÓN ECONÓMICA Y FINANCIERA” establece dentro de la “Línea de acción 5. Mayor claridad y confianza sobre los productos y servicios financieros”, entre otras cosas, lo siguiente: </w:t>
      </w:r>
    </w:p>
    <w:p w14:paraId="43785552" w14:textId="77777777" w:rsidR="00662AFF" w:rsidRPr="00A64F4C" w:rsidRDefault="00662AFF" w:rsidP="00662AFF">
      <w:pPr>
        <w:tabs>
          <w:tab w:val="left" w:pos="2745"/>
        </w:tabs>
        <w:jc w:val="both"/>
        <w:rPr>
          <w:rFonts w:ascii="Helvetica Light" w:hAnsi="Helvetica Light" w:cs="Arial"/>
        </w:rPr>
      </w:pPr>
    </w:p>
    <w:p w14:paraId="7A6E0CA4" w14:textId="77777777" w:rsidR="00662AFF" w:rsidRPr="00A64F4C" w:rsidRDefault="00662AFF" w:rsidP="00662AFF">
      <w:pPr>
        <w:tabs>
          <w:tab w:val="left" w:pos="2745"/>
        </w:tabs>
        <w:ind w:left="708"/>
        <w:jc w:val="both"/>
        <w:rPr>
          <w:rFonts w:ascii="Helvetica Light" w:hAnsi="Helvetica Light" w:cs="Arial"/>
        </w:rPr>
      </w:pPr>
      <w:r w:rsidRPr="00A64F4C">
        <w:rPr>
          <w:rFonts w:ascii="Helvetica Light" w:hAnsi="Helvetica Light" w:cs="Arial"/>
        </w:rPr>
        <w:t>“(…)</w:t>
      </w:r>
    </w:p>
    <w:p w14:paraId="6AE7F852" w14:textId="77777777" w:rsidR="00662AFF" w:rsidRPr="00A64F4C" w:rsidRDefault="00662AFF" w:rsidP="00662AFF">
      <w:pPr>
        <w:tabs>
          <w:tab w:val="left" w:pos="2745"/>
        </w:tabs>
        <w:ind w:left="708"/>
        <w:jc w:val="both"/>
        <w:rPr>
          <w:rFonts w:ascii="Helvetica Light" w:hAnsi="Helvetica Light" w:cs="Arial"/>
        </w:rPr>
      </w:pPr>
      <w:r w:rsidRPr="00A64F4C">
        <w:rPr>
          <w:rFonts w:ascii="Helvetica Light" w:hAnsi="Helvetica Light" w:cs="Arial"/>
        </w:rPr>
        <w:t>Adicionalmente, y en línea con el objetivo de mejorar la confianza de estos usuarios, la Superintendencia de Industria y Comercio, con apoyo de la Superintendencia de Economía Solidaria crearán reportes de información respecto de las causas de sanción impuestas por la Delegatura de Protección al Consumidor de la Superintendencia de Industria y Comercio y las sentencias proferidas por la Delegatura de Asuntos Jurisdiccionales de esta, en materia de protección al consumidor, relacionados con servicios financieros del sector solidario. Estos reportes se realizarán de manera semestral (primer semestre de octubre a marzo y segundo semestre de abril a septiembre) y se publicarán por parte de la Superintendencia de Industria y Comercio en mayo y noviembre de cada año. La Superintendencia de Industria y Comercio remitirá la información de presuntas causas y subcausas a la Superintendencia de Economía Solidaria como insumo para la elaboración de reportes internos. Estos reportes permitirán medir avances y retos de la actividad financiera del sector solidario, y, en consecuencia, una mejor toma de decisiones de política. Esta acción inicia en octubre 2020 y finaliza en diciembre 2024.”</w:t>
      </w:r>
    </w:p>
    <w:p w14:paraId="602E4EA9" w14:textId="77777777" w:rsidR="00662AFF" w:rsidRPr="00A64F4C" w:rsidRDefault="00662AFF" w:rsidP="00662AFF">
      <w:pPr>
        <w:tabs>
          <w:tab w:val="left" w:pos="2745"/>
        </w:tabs>
        <w:jc w:val="both"/>
        <w:rPr>
          <w:rFonts w:ascii="Helvetica Light" w:hAnsi="Helvetica Light" w:cs="Arial"/>
        </w:rPr>
      </w:pPr>
    </w:p>
    <w:p w14:paraId="6B8C8062" w14:textId="3E6A0843" w:rsidR="00662AFF" w:rsidRPr="00A64F4C" w:rsidRDefault="00662AFF" w:rsidP="00662AFF">
      <w:pPr>
        <w:tabs>
          <w:tab w:val="left" w:pos="2745"/>
        </w:tabs>
        <w:jc w:val="both"/>
        <w:rPr>
          <w:rFonts w:ascii="Helvetica Light" w:hAnsi="Helvetica Light" w:cs="Arial"/>
        </w:rPr>
      </w:pPr>
      <w:r w:rsidRPr="00A64F4C">
        <w:rPr>
          <w:rFonts w:ascii="Helvetica Light" w:hAnsi="Helvetica Light" w:cs="Arial"/>
        </w:rPr>
        <w:t xml:space="preserve">En atención a lo anterior, por medio del presente documento la Superintendencia de Industria y Comercio – en adelante SIC- remite el reporte de información correspondiente al periodo </w:t>
      </w:r>
      <w:r w:rsidR="00A64F4C">
        <w:rPr>
          <w:rFonts w:ascii="Helvetica Light" w:hAnsi="Helvetica Light" w:cs="Arial"/>
        </w:rPr>
        <w:t>octubre 2023 – marzo 2024</w:t>
      </w:r>
      <w:r w:rsidRPr="00A64F4C">
        <w:rPr>
          <w:rFonts w:ascii="Helvetica Light" w:hAnsi="Helvetica Light" w:cs="Arial"/>
        </w:rPr>
        <w:t xml:space="preserve">, en aras de dar cumplimiento al compromiso pactado. </w:t>
      </w:r>
    </w:p>
    <w:p w14:paraId="08262B63" w14:textId="5E4B03F3" w:rsidR="00662AFF" w:rsidRPr="00A64F4C" w:rsidRDefault="00662AFF" w:rsidP="00662AFF">
      <w:pPr>
        <w:pStyle w:val="NormalWeb"/>
        <w:numPr>
          <w:ilvl w:val="0"/>
          <w:numId w:val="6"/>
        </w:numPr>
        <w:jc w:val="both"/>
        <w:rPr>
          <w:rFonts w:ascii="Helvetica" w:hAnsi="Helvetica" w:cs="Arial"/>
          <w:b/>
          <w:bCs/>
          <w:color w:val="000000"/>
        </w:rPr>
      </w:pPr>
      <w:r w:rsidRPr="00A64F4C">
        <w:rPr>
          <w:rFonts w:ascii="Helvetica" w:hAnsi="Helvetica" w:cs="Arial"/>
          <w:b/>
          <w:bCs/>
          <w:color w:val="000000"/>
        </w:rPr>
        <w:t>Sanciones impuestas por la Dirección de Investigaciones de Protección al Consumidor de la SIC</w:t>
      </w:r>
      <w:r w:rsidRPr="00A64F4C">
        <w:rPr>
          <w:rFonts w:ascii="Helvetica" w:hAnsi="Helvetica" w:cs="Arial"/>
          <w:b/>
          <w:bCs/>
          <w:color w:val="000000"/>
          <w:lang w:eastAsia="es-ES"/>
        </w:rPr>
        <w:t xml:space="preserve"> </w:t>
      </w:r>
      <w:r w:rsidRPr="00A64F4C">
        <w:rPr>
          <w:rFonts w:ascii="Helvetica" w:hAnsi="Helvetica" w:cs="Arial"/>
          <w:b/>
          <w:bCs/>
          <w:color w:val="000000"/>
        </w:rPr>
        <w:t>relacionadas con servicios financieros del sector solidario</w:t>
      </w:r>
      <w:r w:rsidR="00A64F4C">
        <w:rPr>
          <w:rFonts w:ascii="Helvetica" w:hAnsi="Helvetica" w:cs="Arial"/>
          <w:b/>
          <w:bCs/>
          <w:color w:val="000000"/>
        </w:rPr>
        <w:t>.</w:t>
      </w:r>
    </w:p>
    <w:p w14:paraId="711A1AFA" w14:textId="4EA6EB60" w:rsidR="00AE68EA" w:rsidRDefault="00662AFF" w:rsidP="00AE68EA">
      <w:pPr>
        <w:pStyle w:val="NormalWeb"/>
        <w:jc w:val="both"/>
        <w:rPr>
          <w:rFonts w:ascii="Helvetica Light" w:hAnsi="Helvetica Light" w:cs="Arial"/>
          <w:color w:val="000000"/>
        </w:rPr>
      </w:pPr>
      <w:r w:rsidRPr="00A64F4C">
        <w:rPr>
          <w:rFonts w:ascii="Helvetica Light" w:hAnsi="Helvetica Light" w:cs="Arial"/>
          <w:color w:val="000000"/>
        </w:rPr>
        <w:t xml:space="preserve">Entre el 1° de </w:t>
      </w:r>
      <w:r w:rsidR="00AE68EA" w:rsidRPr="00A64F4C">
        <w:rPr>
          <w:rFonts w:ascii="Helvetica Light" w:hAnsi="Helvetica Light" w:cs="Arial"/>
          <w:color w:val="000000"/>
        </w:rPr>
        <w:t>octubre</w:t>
      </w:r>
      <w:r w:rsidRPr="00A64F4C">
        <w:rPr>
          <w:rFonts w:ascii="Helvetica Light" w:hAnsi="Helvetica Light" w:cs="Arial"/>
          <w:color w:val="000000"/>
        </w:rPr>
        <w:t xml:space="preserve"> </w:t>
      </w:r>
      <w:r w:rsidR="00AE68EA" w:rsidRPr="00A64F4C">
        <w:rPr>
          <w:rFonts w:ascii="Helvetica Light" w:hAnsi="Helvetica Light" w:cs="Arial"/>
          <w:color w:val="000000"/>
        </w:rPr>
        <w:t xml:space="preserve">de 2023 </w:t>
      </w:r>
      <w:r w:rsidR="00A64F4C">
        <w:rPr>
          <w:rFonts w:ascii="Helvetica Light" w:hAnsi="Helvetica Light" w:cs="Arial"/>
          <w:color w:val="000000"/>
        </w:rPr>
        <w:t>y el</w:t>
      </w:r>
      <w:r w:rsidRPr="00A64F4C">
        <w:rPr>
          <w:rFonts w:ascii="Helvetica Light" w:hAnsi="Helvetica Light" w:cs="Arial"/>
          <w:color w:val="000000"/>
        </w:rPr>
        <w:t xml:space="preserve"> 3</w:t>
      </w:r>
      <w:r w:rsidR="00AE68EA" w:rsidRPr="00A64F4C">
        <w:rPr>
          <w:rFonts w:ascii="Helvetica Light" w:hAnsi="Helvetica Light" w:cs="Arial"/>
          <w:color w:val="000000"/>
        </w:rPr>
        <w:t>1</w:t>
      </w:r>
      <w:r w:rsidRPr="00A64F4C">
        <w:rPr>
          <w:rFonts w:ascii="Helvetica Light" w:hAnsi="Helvetica Light" w:cs="Arial"/>
          <w:color w:val="000000"/>
        </w:rPr>
        <w:t xml:space="preserve"> de </w:t>
      </w:r>
      <w:r w:rsidR="00AE68EA" w:rsidRPr="00A64F4C">
        <w:rPr>
          <w:rFonts w:ascii="Helvetica Light" w:hAnsi="Helvetica Light" w:cs="Arial"/>
          <w:color w:val="000000"/>
        </w:rPr>
        <w:t xml:space="preserve">marzo </w:t>
      </w:r>
      <w:r w:rsidRPr="00A64F4C">
        <w:rPr>
          <w:rFonts w:ascii="Helvetica Light" w:hAnsi="Helvetica Light" w:cs="Arial"/>
          <w:color w:val="000000"/>
        </w:rPr>
        <w:t>de 202</w:t>
      </w:r>
      <w:r w:rsidR="00AE68EA" w:rsidRPr="00A64F4C">
        <w:rPr>
          <w:rFonts w:ascii="Helvetica Light" w:hAnsi="Helvetica Light" w:cs="Arial"/>
          <w:color w:val="000000"/>
        </w:rPr>
        <w:t>4</w:t>
      </w:r>
      <w:r w:rsidRPr="00A64F4C">
        <w:rPr>
          <w:rFonts w:ascii="Helvetica Light" w:hAnsi="Helvetica Light" w:cs="Arial"/>
          <w:color w:val="000000"/>
        </w:rPr>
        <w:t xml:space="preserve">, </w:t>
      </w:r>
      <w:r w:rsidR="00A64F4C">
        <w:rPr>
          <w:rFonts w:ascii="Helvetica Light" w:hAnsi="Helvetica Light" w:cs="Arial"/>
          <w:color w:val="000000"/>
        </w:rPr>
        <w:t>la Delegatura para la Protección del Consumidor impuso</w:t>
      </w:r>
      <w:r w:rsidRPr="00A64F4C">
        <w:rPr>
          <w:rFonts w:ascii="Helvetica Light" w:hAnsi="Helvetica Light" w:cs="Arial"/>
          <w:color w:val="000000"/>
        </w:rPr>
        <w:t xml:space="preserve"> </w:t>
      </w:r>
      <w:r w:rsidR="00534A9D">
        <w:rPr>
          <w:rFonts w:ascii="Helvetica Light" w:hAnsi="Helvetica Light" w:cs="Arial"/>
          <w:color w:val="000000"/>
        </w:rPr>
        <w:t>una</w:t>
      </w:r>
      <w:r w:rsidRPr="00A64F4C">
        <w:rPr>
          <w:rFonts w:ascii="Helvetica Light" w:hAnsi="Helvetica Light" w:cs="Arial"/>
          <w:color w:val="000000"/>
        </w:rPr>
        <w:t xml:space="preserve"> (</w:t>
      </w:r>
      <w:r w:rsidR="005158CE" w:rsidRPr="00A64F4C">
        <w:rPr>
          <w:rFonts w:ascii="Helvetica Light" w:hAnsi="Helvetica Light" w:cs="Arial"/>
          <w:color w:val="000000"/>
        </w:rPr>
        <w:t>1</w:t>
      </w:r>
      <w:r w:rsidRPr="00A64F4C">
        <w:rPr>
          <w:rFonts w:ascii="Helvetica Light" w:hAnsi="Helvetica Light" w:cs="Arial"/>
          <w:color w:val="000000"/>
        </w:rPr>
        <w:t>) sanci</w:t>
      </w:r>
      <w:r w:rsidR="005158CE" w:rsidRPr="00A64F4C">
        <w:rPr>
          <w:rFonts w:ascii="Helvetica Light" w:hAnsi="Helvetica Light" w:cs="Arial"/>
          <w:color w:val="000000"/>
        </w:rPr>
        <w:t>ón</w:t>
      </w:r>
      <w:r w:rsidRPr="00A64F4C">
        <w:rPr>
          <w:rFonts w:ascii="Helvetica Light" w:hAnsi="Helvetica Light" w:cs="Arial"/>
          <w:color w:val="000000"/>
        </w:rPr>
        <w:t xml:space="preserve"> relacionada con </w:t>
      </w:r>
      <w:r w:rsidR="00534A9D">
        <w:rPr>
          <w:rFonts w:ascii="Helvetica Light" w:hAnsi="Helvetica Light" w:cs="Arial"/>
          <w:color w:val="000000"/>
        </w:rPr>
        <w:t>operaciones de crédito</w:t>
      </w:r>
      <w:r w:rsidRPr="00A64F4C">
        <w:rPr>
          <w:rFonts w:ascii="Helvetica Light" w:hAnsi="Helvetica Light" w:cs="Arial"/>
          <w:color w:val="000000"/>
        </w:rPr>
        <w:t xml:space="preserve"> </w:t>
      </w:r>
      <w:r w:rsidR="00534A9D">
        <w:rPr>
          <w:rFonts w:ascii="Helvetica Light" w:hAnsi="Helvetica Light" w:cs="Arial"/>
          <w:color w:val="000000"/>
        </w:rPr>
        <w:t xml:space="preserve">realizadas </w:t>
      </w:r>
      <w:r w:rsidRPr="00A64F4C">
        <w:rPr>
          <w:rFonts w:ascii="Helvetica Light" w:hAnsi="Helvetica Light" w:cs="Arial"/>
          <w:color w:val="000000"/>
        </w:rPr>
        <w:t xml:space="preserve">por </w:t>
      </w:r>
      <w:r w:rsidR="003C2B4D">
        <w:rPr>
          <w:rFonts w:ascii="Helvetica Light" w:hAnsi="Helvetica Light" w:cs="Arial"/>
          <w:color w:val="000000"/>
        </w:rPr>
        <w:t>una entidad</w:t>
      </w:r>
      <w:r w:rsidRPr="00A64F4C">
        <w:rPr>
          <w:rFonts w:ascii="Helvetica Light" w:hAnsi="Helvetica Light" w:cs="Arial"/>
          <w:color w:val="000000"/>
        </w:rPr>
        <w:t xml:space="preserve"> del sector solidario, la cual se detalla a continuación: </w:t>
      </w:r>
    </w:p>
    <w:p w14:paraId="28918E5D" w14:textId="77777777" w:rsidR="00534A9D" w:rsidRPr="00A64F4C" w:rsidRDefault="00534A9D" w:rsidP="00AE68EA">
      <w:pPr>
        <w:pStyle w:val="NormalWeb"/>
        <w:jc w:val="both"/>
        <w:rPr>
          <w:rFonts w:ascii="Helvetica Light" w:eastAsia="Times New Roman" w:hAnsi="Helvetica Light" w:cs="Segoe UI"/>
          <w:color w:val="242424"/>
          <w:lang w:val="es-CO" w:eastAsia="es-CO"/>
        </w:rPr>
      </w:pPr>
    </w:p>
    <w:tbl>
      <w:tblPr>
        <w:tblW w:w="10490" w:type="dxa"/>
        <w:jc w:val="center"/>
        <w:tblCellMar>
          <w:top w:w="15" w:type="dxa"/>
          <w:left w:w="15" w:type="dxa"/>
          <w:bottom w:w="15" w:type="dxa"/>
          <w:right w:w="15" w:type="dxa"/>
        </w:tblCellMar>
        <w:tblLook w:val="04A0" w:firstRow="1" w:lastRow="0" w:firstColumn="1" w:lastColumn="0" w:noHBand="0" w:noVBand="1"/>
      </w:tblPr>
      <w:tblGrid>
        <w:gridCol w:w="1406"/>
        <w:gridCol w:w="1278"/>
        <w:gridCol w:w="1429"/>
        <w:gridCol w:w="2696"/>
        <w:gridCol w:w="1548"/>
        <w:gridCol w:w="1891"/>
        <w:gridCol w:w="242"/>
      </w:tblGrid>
      <w:tr w:rsidR="00A64F4C" w:rsidRPr="0013221A" w14:paraId="232854C6" w14:textId="62556B8B" w:rsidTr="0013221A">
        <w:trPr>
          <w:trHeight w:val="240"/>
          <w:jc w:val="center"/>
        </w:trPr>
        <w:tc>
          <w:tcPr>
            <w:tcW w:w="1406"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center"/>
            <w:hideMark/>
          </w:tcPr>
          <w:p w14:paraId="1189D9D1" w14:textId="77777777" w:rsidR="00A64F4C" w:rsidRPr="0013221A" w:rsidRDefault="00A64F4C" w:rsidP="00A64F4C">
            <w:pPr>
              <w:jc w:val="center"/>
              <w:rPr>
                <w:rFonts w:ascii="Helvetica Light" w:eastAsia="Times New Roman" w:hAnsi="Helvetica Light" w:cs="Calibri"/>
                <w:b/>
                <w:bCs/>
                <w:sz w:val="22"/>
                <w:szCs w:val="22"/>
                <w:lang w:val="es-CO" w:eastAsia="es-CO"/>
              </w:rPr>
            </w:pPr>
            <w:r w:rsidRPr="0013221A">
              <w:rPr>
                <w:rFonts w:ascii="Helvetica Light" w:eastAsia="Times New Roman" w:hAnsi="Helvetica Light" w:cs="Arial"/>
                <w:b/>
                <w:bCs/>
                <w:color w:val="000000"/>
                <w:sz w:val="22"/>
                <w:szCs w:val="22"/>
                <w:bdr w:val="none" w:sz="0" w:space="0" w:color="auto" w:frame="1"/>
                <w:lang w:val="es-CO" w:eastAsia="es-CO"/>
              </w:rPr>
              <w:lastRenderedPageBreak/>
              <w:t>Radicado</w:t>
            </w:r>
            <w:r w:rsidRPr="0013221A">
              <w:rPr>
                <w:rFonts w:ascii="Helvetica Light" w:eastAsia="Times New Roman" w:hAnsi="Helvetica Light" w:cs="Arial"/>
                <w:b/>
                <w:bCs/>
                <w:sz w:val="22"/>
                <w:szCs w:val="22"/>
                <w:bdr w:val="none" w:sz="0" w:space="0" w:color="auto" w:frame="1"/>
                <w:lang w:val="es-CO" w:eastAsia="es-CO"/>
              </w:rPr>
              <w:t> </w:t>
            </w:r>
          </w:p>
        </w:tc>
        <w:tc>
          <w:tcPr>
            <w:tcW w:w="1278" w:type="dxa"/>
            <w:tcBorders>
              <w:top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center"/>
            <w:hideMark/>
          </w:tcPr>
          <w:p w14:paraId="7075D71A" w14:textId="29F90138" w:rsidR="00A64F4C" w:rsidRPr="0013221A" w:rsidRDefault="00A64F4C" w:rsidP="00A64F4C">
            <w:pPr>
              <w:jc w:val="center"/>
              <w:rPr>
                <w:rFonts w:ascii="Helvetica Light" w:eastAsia="Times New Roman" w:hAnsi="Helvetica Light" w:cs="Calibri"/>
                <w:b/>
                <w:bCs/>
                <w:sz w:val="22"/>
                <w:szCs w:val="22"/>
                <w:lang w:val="es-CO" w:eastAsia="es-CO"/>
              </w:rPr>
            </w:pPr>
            <w:r w:rsidRPr="0013221A">
              <w:rPr>
                <w:rFonts w:ascii="Helvetica Light" w:eastAsia="Times New Roman" w:hAnsi="Helvetica Light" w:cs="Arial"/>
                <w:b/>
                <w:bCs/>
                <w:color w:val="000000"/>
                <w:sz w:val="22"/>
                <w:szCs w:val="22"/>
                <w:bdr w:val="none" w:sz="0" w:space="0" w:color="auto" w:frame="1"/>
                <w:lang w:val="es-CO" w:eastAsia="es-CO"/>
              </w:rPr>
              <w:t xml:space="preserve">No. resolución </w:t>
            </w:r>
          </w:p>
        </w:tc>
        <w:tc>
          <w:tcPr>
            <w:tcW w:w="1429" w:type="dxa"/>
            <w:tcBorders>
              <w:top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center"/>
            <w:hideMark/>
          </w:tcPr>
          <w:p w14:paraId="73C9F8C7" w14:textId="77777777" w:rsidR="00A64F4C" w:rsidRPr="0013221A" w:rsidRDefault="00A64F4C" w:rsidP="00A64F4C">
            <w:pPr>
              <w:jc w:val="center"/>
              <w:rPr>
                <w:rFonts w:ascii="Helvetica Light" w:eastAsia="Times New Roman" w:hAnsi="Helvetica Light" w:cs="Calibri"/>
                <w:b/>
                <w:bCs/>
                <w:sz w:val="22"/>
                <w:szCs w:val="22"/>
                <w:lang w:val="es-CO" w:eastAsia="es-CO"/>
              </w:rPr>
            </w:pPr>
            <w:r w:rsidRPr="0013221A">
              <w:rPr>
                <w:rFonts w:ascii="Helvetica Light" w:eastAsia="Times New Roman" w:hAnsi="Helvetica Light" w:cs="Arial"/>
                <w:b/>
                <w:bCs/>
                <w:color w:val="000000"/>
                <w:sz w:val="22"/>
                <w:szCs w:val="22"/>
                <w:bdr w:val="none" w:sz="0" w:space="0" w:color="auto" w:frame="1"/>
                <w:lang w:val="es-CO" w:eastAsia="es-CO"/>
              </w:rPr>
              <w:t>Fecha</w:t>
            </w:r>
            <w:r w:rsidRPr="0013221A">
              <w:rPr>
                <w:rFonts w:ascii="Helvetica Light" w:eastAsia="Times New Roman" w:hAnsi="Helvetica Light" w:cs="Arial"/>
                <w:b/>
                <w:bCs/>
                <w:sz w:val="22"/>
                <w:szCs w:val="22"/>
                <w:bdr w:val="none" w:sz="0" w:space="0" w:color="auto" w:frame="1"/>
                <w:lang w:val="es-CO" w:eastAsia="es-CO"/>
              </w:rPr>
              <w:t> </w:t>
            </w:r>
          </w:p>
        </w:tc>
        <w:tc>
          <w:tcPr>
            <w:tcW w:w="2696" w:type="dxa"/>
            <w:tcBorders>
              <w:top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center"/>
            <w:hideMark/>
          </w:tcPr>
          <w:p w14:paraId="60E7EE81" w14:textId="52E428E8" w:rsidR="00A64F4C" w:rsidRPr="0013221A" w:rsidRDefault="00A64F4C" w:rsidP="00A64F4C">
            <w:pPr>
              <w:jc w:val="center"/>
              <w:rPr>
                <w:rFonts w:ascii="Helvetica Light" w:eastAsia="Times New Roman" w:hAnsi="Helvetica Light" w:cs="Calibri"/>
                <w:b/>
                <w:bCs/>
                <w:sz w:val="22"/>
                <w:szCs w:val="22"/>
                <w:lang w:val="es-CO" w:eastAsia="es-CO"/>
              </w:rPr>
            </w:pPr>
            <w:r w:rsidRPr="0013221A">
              <w:rPr>
                <w:rFonts w:ascii="Helvetica Light" w:eastAsia="Times New Roman" w:hAnsi="Helvetica Light" w:cs="Arial"/>
                <w:b/>
                <w:bCs/>
                <w:color w:val="000000"/>
                <w:sz w:val="22"/>
                <w:szCs w:val="22"/>
                <w:bdr w:val="none" w:sz="0" w:space="0" w:color="auto" w:frame="1"/>
                <w:lang w:val="es-CO" w:eastAsia="es-CO"/>
              </w:rPr>
              <w:t>Conducta</w:t>
            </w:r>
            <w:r w:rsidRPr="0013221A">
              <w:rPr>
                <w:rFonts w:ascii="Helvetica Light" w:eastAsia="Times New Roman" w:hAnsi="Helvetica Light" w:cs="Arial"/>
                <w:b/>
                <w:bCs/>
                <w:sz w:val="22"/>
                <w:szCs w:val="22"/>
                <w:bdr w:val="none" w:sz="0" w:space="0" w:color="auto" w:frame="1"/>
                <w:lang w:val="es-CO" w:eastAsia="es-CO"/>
              </w:rPr>
              <w:t> </w:t>
            </w:r>
          </w:p>
        </w:tc>
        <w:tc>
          <w:tcPr>
            <w:tcW w:w="1548" w:type="dxa"/>
            <w:tcBorders>
              <w:top w:val="single" w:sz="8" w:space="0" w:color="auto"/>
              <w:bottom w:val="single" w:sz="8" w:space="0" w:color="auto"/>
              <w:right w:val="single" w:sz="8" w:space="0" w:color="auto"/>
            </w:tcBorders>
            <w:shd w:val="clear" w:color="auto" w:fill="C6D9F1" w:themeFill="text2" w:themeFillTint="33"/>
            <w:tcMar>
              <w:top w:w="0" w:type="dxa"/>
              <w:left w:w="70" w:type="dxa"/>
              <w:bottom w:w="0" w:type="dxa"/>
              <w:right w:w="70" w:type="dxa"/>
            </w:tcMar>
            <w:vAlign w:val="center"/>
            <w:hideMark/>
          </w:tcPr>
          <w:p w14:paraId="3CB5BD34" w14:textId="7A7CC7E7" w:rsidR="00A64F4C" w:rsidRPr="0013221A" w:rsidRDefault="00A64F4C" w:rsidP="00A64F4C">
            <w:pPr>
              <w:jc w:val="center"/>
              <w:rPr>
                <w:rFonts w:ascii="Helvetica Light" w:eastAsia="Times New Roman" w:hAnsi="Helvetica Light" w:cs="Calibri"/>
                <w:b/>
                <w:bCs/>
                <w:sz w:val="22"/>
                <w:szCs w:val="22"/>
                <w:lang w:val="es-CO" w:eastAsia="es-CO"/>
              </w:rPr>
            </w:pPr>
            <w:r w:rsidRPr="0013221A">
              <w:rPr>
                <w:rFonts w:ascii="Helvetica Light" w:eastAsia="Times New Roman" w:hAnsi="Helvetica Light" w:cs="Calibri"/>
                <w:b/>
                <w:bCs/>
                <w:sz w:val="22"/>
                <w:szCs w:val="22"/>
                <w:lang w:val="es-CO" w:eastAsia="es-CO"/>
              </w:rPr>
              <w:t>Valor</w:t>
            </w:r>
          </w:p>
        </w:tc>
        <w:tc>
          <w:tcPr>
            <w:tcW w:w="1891" w:type="dxa"/>
            <w:tcBorders>
              <w:top w:val="single" w:sz="8" w:space="0" w:color="auto"/>
              <w:bottom w:val="single" w:sz="8" w:space="0" w:color="auto"/>
            </w:tcBorders>
            <w:shd w:val="clear" w:color="auto" w:fill="C6D9F1" w:themeFill="text2" w:themeFillTint="33"/>
            <w:vAlign w:val="center"/>
          </w:tcPr>
          <w:p w14:paraId="3FE86CE0" w14:textId="2457954D" w:rsidR="00A64F4C" w:rsidRPr="0013221A" w:rsidRDefault="00A64F4C" w:rsidP="00A64F4C">
            <w:pPr>
              <w:jc w:val="center"/>
              <w:rPr>
                <w:rFonts w:ascii="Helvetica Light" w:eastAsia="Times New Roman" w:hAnsi="Helvetica Light" w:cs="Arial"/>
                <w:b/>
                <w:bCs/>
                <w:color w:val="000000"/>
                <w:sz w:val="22"/>
                <w:szCs w:val="22"/>
                <w:bdr w:val="none" w:sz="0" w:space="0" w:color="auto" w:frame="1"/>
                <w:lang w:val="es-CO" w:eastAsia="es-CO"/>
              </w:rPr>
            </w:pPr>
            <w:r w:rsidRPr="0013221A">
              <w:rPr>
                <w:rFonts w:ascii="Helvetica Light" w:eastAsia="Times New Roman" w:hAnsi="Helvetica Light" w:cs="Arial"/>
                <w:b/>
                <w:bCs/>
                <w:color w:val="000000"/>
                <w:sz w:val="22"/>
                <w:szCs w:val="22"/>
                <w:bdr w:val="none" w:sz="0" w:space="0" w:color="auto" w:frame="1"/>
                <w:lang w:val="es-CO" w:eastAsia="es-CO"/>
              </w:rPr>
              <w:t>Multado</w:t>
            </w:r>
            <w:r w:rsidRPr="0013221A">
              <w:rPr>
                <w:rFonts w:ascii="Helvetica Light" w:eastAsia="Times New Roman" w:hAnsi="Helvetica Light" w:cs="Arial"/>
                <w:b/>
                <w:bCs/>
                <w:sz w:val="22"/>
                <w:szCs w:val="22"/>
                <w:bdr w:val="none" w:sz="0" w:space="0" w:color="auto" w:frame="1"/>
                <w:lang w:val="es-CO" w:eastAsia="es-CO"/>
              </w:rPr>
              <w:t> </w:t>
            </w:r>
          </w:p>
        </w:tc>
        <w:tc>
          <w:tcPr>
            <w:tcW w:w="242" w:type="dxa"/>
            <w:tcBorders>
              <w:top w:val="single" w:sz="8" w:space="0" w:color="auto"/>
              <w:bottom w:val="single" w:sz="8" w:space="0" w:color="auto"/>
              <w:right w:val="single" w:sz="8" w:space="0" w:color="auto"/>
            </w:tcBorders>
            <w:shd w:val="clear" w:color="auto" w:fill="C6D9F1" w:themeFill="text2" w:themeFillTint="33"/>
          </w:tcPr>
          <w:p w14:paraId="020B9030" w14:textId="555F3105" w:rsidR="00A64F4C" w:rsidRPr="0013221A" w:rsidRDefault="00A64F4C" w:rsidP="00A64F4C">
            <w:pPr>
              <w:jc w:val="center"/>
              <w:rPr>
                <w:rFonts w:ascii="Helvetica Light" w:eastAsia="Times New Roman" w:hAnsi="Helvetica Light" w:cs="Arial"/>
                <w:color w:val="000000"/>
                <w:sz w:val="22"/>
                <w:szCs w:val="22"/>
                <w:bdr w:val="none" w:sz="0" w:space="0" w:color="auto" w:frame="1"/>
                <w:lang w:val="es-CO" w:eastAsia="es-CO"/>
              </w:rPr>
            </w:pPr>
          </w:p>
        </w:tc>
      </w:tr>
      <w:tr w:rsidR="00A64F4C" w:rsidRPr="0013221A" w14:paraId="0C7CC185" w14:textId="10A72901" w:rsidTr="0013221A">
        <w:trPr>
          <w:trHeight w:val="240"/>
          <w:jc w:val="center"/>
        </w:trPr>
        <w:tc>
          <w:tcPr>
            <w:tcW w:w="1406" w:type="dxa"/>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90473" w14:textId="072A0CEA" w:rsidR="00A64F4C" w:rsidRPr="0013221A" w:rsidRDefault="00A64F4C" w:rsidP="00A64F4C">
            <w:pPr>
              <w:jc w:val="center"/>
              <w:rPr>
                <w:rFonts w:ascii="Helvetica Light" w:eastAsia="Times New Roman" w:hAnsi="Helvetica Light" w:cs="Calibri"/>
                <w:sz w:val="22"/>
                <w:szCs w:val="22"/>
                <w:lang w:val="es-CO" w:eastAsia="es-CO"/>
              </w:rPr>
            </w:pPr>
            <w:r w:rsidRPr="0013221A">
              <w:rPr>
                <w:rFonts w:ascii="Helvetica Light" w:eastAsia="Times New Roman" w:hAnsi="Helvetica Light" w:cs="Arial"/>
                <w:sz w:val="22"/>
                <w:szCs w:val="22"/>
                <w:bdr w:val="none" w:sz="0" w:space="0" w:color="auto" w:frame="1"/>
                <w:lang w:val="es-CO" w:eastAsia="es-CO"/>
              </w:rPr>
              <w:t>20-41565</w:t>
            </w:r>
          </w:p>
        </w:tc>
        <w:tc>
          <w:tcPr>
            <w:tcW w:w="1278" w:type="dxa"/>
            <w:tcBorders>
              <w:bottom w:val="single" w:sz="8" w:space="0" w:color="auto"/>
              <w:right w:val="single" w:sz="8" w:space="0" w:color="auto"/>
            </w:tcBorders>
            <w:tcMar>
              <w:top w:w="0" w:type="dxa"/>
              <w:left w:w="70" w:type="dxa"/>
              <w:bottom w:w="0" w:type="dxa"/>
              <w:right w:w="70" w:type="dxa"/>
            </w:tcMar>
            <w:vAlign w:val="center"/>
            <w:hideMark/>
          </w:tcPr>
          <w:p w14:paraId="553C856B" w14:textId="733E1BFC" w:rsidR="00A64F4C" w:rsidRPr="0013221A" w:rsidRDefault="00A64F4C" w:rsidP="00A64F4C">
            <w:pPr>
              <w:jc w:val="center"/>
              <w:rPr>
                <w:rFonts w:ascii="Helvetica Light" w:eastAsia="Times New Roman" w:hAnsi="Helvetica Light" w:cs="Calibri"/>
                <w:sz w:val="22"/>
                <w:szCs w:val="22"/>
                <w:lang w:val="es-CO" w:eastAsia="es-CO"/>
              </w:rPr>
            </w:pPr>
            <w:r w:rsidRPr="0013221A">
              <w:rPr>
                <w:rFonts w:ascii="Helvetica Light" w:eastAsia="Times New Roman" w:hAnsi="Helvetica Light" w:cs="Arial"/>
                <w:sz w:val="22"/>
                <w:szCs w:val="22"/>
                <w:bdr w:val="none" w:sz="0" w:space="0" w:color="auto" w:frame="1"/>
                <w:lang w:val="es-CO" w:eastAsia="es-CO"/>
              </w:rPr>
              <w:t>70981</w:t>
            </w:r>
          </w:p>
        </w:tc>
        <w:tc>
          <w:tcPr>
            <w:tcW w:w="1429" w:type="dxa"/>
            <w:tcBorders>
              <w:bottom w:val="single" w:sz="8" w:space="0" w:color="auto"/>
              <w:right w:val="single" w:sz="8" w:space="0" w:color="auto"/>
            </w:tcBorders>
            <w:tcMar>
              <w:top w:w="0" w:type="dxa"/>
              <w:left w:w="70" w:type="dxa"/>
              <w:bottom w:w="0" w:type="dxa"/>
              <w:right w:w="70" w:type="dxa"/>
            </w:tcMar>
            <w:vAlign w:val="center"/>
            <w:hideMark/>
          </w:tcPr>
          <w:p w14:paraId="0DD74B51" w14:textId="30C48E7B" w:rsidR="00A64F4C" w:rsidRPr="0013221A" w:rsidRDefault="00A64F4C" w:rsidP="00A64F4C">
            <w:pPr>
              <w:jc w:val="center"/>
              <w:rPr>
                <w:rFonts w:ascii="Helvetica Light" w:eastAsia="Times New Roman" w:hAnsi="Helvetica Light" w:cs="Calibri"/>
                <w:sz w:val="22"/>
                <w:szCs w:val="22"/>
                <w:lang w:val="es-CO" w:eastAsia="es-CO"/>
              </w:rPr>
            </w:pPr>
            <w:r w:rsidRPr="0013221A">
              <w:rPr>
                <w:rFonts w:ascii="Helvetica Light" w:eastAsia="Times New Roman" w:hAnsi="Helvetica Light" w:cs="Arial"/>
                <w:sz w:val="22"/>
                <w:szCs w:val="22"/>
                <w:bdr w:val="none" w:sz="0" w:space="0" w:color="auto" w:frame="1"/>
                <w:lang w:val="es-CO" w:eastAsia="es-CO"/>
              </w:rPr>
              <w:t>14/11/2023</w:t>
            </w:r>
          </w:p>
        </w:tc>
        <w:tc>
          <w:tcPr>
            <w:tcW w:w="2696" w:type="dxa"/>
            <w:tcBorders>
              <w:bottom w:val="single" w:sz="8" w:space="0" w:color="auto"/>
              <w:right w:val="single" w:sz="8" w:space="0" w:color="auto"/>
            </w:tcBorders>
            <w:tcMar>
              <w:top w:w="0" w:type="dxa"/>
              <w:left w:w="70" w:type="dxa"/>
              <w:bottom w:w="0" w:type="dxa"/>
              <w:right w:w="70" w:type="dxa"/>
            </w:tcMar>
            <w:vAlign w:val="center"/>
            <w:hideMark/>
          </w:tcPr>
          <w:p w14:paraId="6867D054" w14:textId="559A0A8A" w:rsidR="00A64F4C" w:rsidRPr="0013221A" w:rsidRDefault="00A64F4C" w:rsidP="00A64F4C">
            <w:pPr>
              <w:jc w:val="center"/>
              <w:rPr>
                <w:rFonts w:ascii="Helvetica Light" w:eastAsia="Times New Roman" w:hAnsi="Helvetica Light" w:cs="Calibri"/>
                <w:sz w:val="22"/>
                <w:szCs w:val="22"/>
                <w:lang w:val="es-CO" w:eastAsia="es-CO"/>
              </w:rPr>
            </w:pPr>
            <w:r w:rsidRPr="0013221A">
              <w:rPr>
                <w:rFonts w:ascii="Helvetica Light" w:eastAsia="Times New Roman" w:hAnsi="Helvetica Light" w:cs="Arial"/>
                <w:sz w:val="22"/>
                <w:szCs w:val="22"/>
                <w:bdr w:val="none" w:sz="0" w:space="0" w:color="auto" w:frame="1"/>
                <w:lang w:val="es-CO" w:eastAsia="es-CO"/>
              </w:rPr>
              <w:t>Inobservancia de las disposiciones especiales que deben incluirse en las operaciones de crédito</w:t>
            </w:r>
          </w:p>
        </w:tc>
        <w:tc>
          <w:tcPr>
            <w:tcW w:w="1548" w:type="dxa"/>
            <w:tcBorders>
              <w:bottom w:val="single" w:sz="8" w:space="0" w:color="auto"/>
              <w:right w:val="single" w:sz="8" w:space="0" w:color="auto"/>
            </w:tcBorders>
            <w:tcMar>
              <w:top w:w="0" w:type="dxa"/>
              <w:left w:w="70" w:type="dxa"/>
              <w:bottom w:w="0" w:type="dxa"/>
              <w:right w:w="70" w:type="dxa"/>
            </w:tcMar>
            <w:vAlign w:val="center"/>
            <w:hideMark/>
          </w:tcPr>
          <w:p w14:paraId="1626100C" w14:textId="77777777" w:rsidR="00A64F4C" w:rsidRPr="0013221A" w:rsidRDefault="00A64F4C" w:rsidP="00A64F4C">
            <w:pPr>
              <w:jc w:val="center"/>
              <w:rPr>
                <w:rFonts w:ascii="Helvetica Light" w:eastAsia="Times New Roman" w:hAnsi="Helvetica Light" w:cs="Arial"/>
                <w:sz w:val="22"/>
                <w:szCs w:val="22"/>
                <w:bdr w:val="none" w:sz="0" w:space="0" w:color="auto" w:frame="1"/>
                <w:lang w:val="es-CO" w:eastAsia="es-CO"/>
              </w:rPr>
            </w:pPr>
            <w:r w:rsidRPr="0013221A">
              <w:rPr>
                <w:rFonts w:ascii="Helvetica Light" w:eastAsia="Times New Roman" w:hAnsi="Helvetica Light" w:cs="Arial"/>
                <w:sz w:val="22"/>
                <w:szCs w:val="22"/>
                <w:bdr w:val="none" w:sz="0" w:space="0" w:color="auto" w:frame="1"/>
                <w:lang w:val="es-CO" w:eastAsia="es-CO"/>
              </w:rPr>
              <w:t>$17.400.000</w:t>
            </w:r>
          </w:p>
          <w:p w14:paraId="71B01E06" w14:textId="6105CB4D" w:rsidR="00A64F4C" w:rsidRPr="0013221A" w:rsidRDefault="00A64F4C" w:rsidP="00A64F4C">
            <w:pPr>
              <w:jc w:val="center"/>
              <w:rPr>
                <w:rFonts w:ascii="Helvetica Light" w:eastAsia="Times New Roman" w:hAnsi="Helvetica Light" w:cs="Calibri"/>
                <w:sz w:val="22"/>
                <w:szCs w:val="22"/>
                <w:lang w:val="es-CO" w:eastAsia="es-CO"/>
              </w:rPr>
            </w:pPr>
          </w:p>
        </w:tc>
        <w:tc>
          <w:tcPr>
            <w:tcW w:w="1891" w:type="dxa"/>
            <w:tcBorders>
              <w:bottom w:val="single" w:sz="8" w:space="0" w:color="auto"/>
            </w:tcBorders>
            <w:vAlign w:val="center"/>
          </w:tcPr>
          <w:p w14:paraId="374383B5" w14:textId="44F78913" w:rsidR="00A64F4C" w:rsidRPr="0013221A" w:rsidRDefault="00A64F4C" w:rsidP="00A64F4C">
            <w:pPr>
              <w:jc w:val="center"/>
              <w:rPr>
                <w:rFonts w:ascii="Helvetica Light" w:eastAsia="Times New Roman" w:hAnsi="Helvetica Light" w:cs="Arial"/>
                <w:sz w:val="22"/>
                <w:szCs w:val="22"/>
                <w:bdr w:val="none" w:sz="0" w:space="0" w:color="auto" w:frame="1"/>
                <w:lang w:val="es-CO" w:eastAsia="es-CO"/>
              </w:rPr>
            </w:pPr>
            <w:r w:rsidRPr="0013221A">
              <w:rPr>
                <w:rFonts w:ascii="Helvetica Light" w:eastAsia="Times New Roman" w:hAnsi="Helvetica Light" w:cs="Arial"/>
                <w:sz w:val="22"/>
                <w:szCs w:val="22"/>
                <w:bdr w:val="none" w:sz="0" w:space="0" w:color="auto" w:frame="1"/>
                <w:lang w:val="es-CO" w:eastAsia="es-CO"/>
              </w:rPr>
              <w:t>COOPERATIVA MULTIACTIVA SEGURO PORVENIR -COOPORVENIR</w:t>
            </w:r>
          </w:p>
        </w:tc>
        <w:tc>
          <w:tcPr>
            <w:tcW w:w="242" w:type="dxa"/>
            <w:tcBorders>
              <w:bottom w:val="single" w:sz="8" w:space="0" w:color="auto"/>
              <w:right w:val="single" w:sz="8" w:space="0" w:color="auto"/>
            </w:tcBorders>
          </w:tcPr>
          <w:p w14:paraId="77DCBB3E" w14:textId="52A5A1F8" w:rsidR="00A64F4C" w:rsidRPr="0013221A" w:rsidRDefault="00A64F4C" w:rsidP="00A64F4C">
            <w:pPr>
              <w:rPr>
                <w:rFonts w:ascii="Helvetica Light" w:eastAsia="Times New Roman" w:hAnsi="Helvetica Light" w:cs="Arial"/>
                <w:sz w:val="22"/>
                <w:szCs w:val="22"/>
                <w:bdr w:val="none" w:sz="0" w:space="0" w:color="auto" w:frame="1"/>
                <w:lang w:val="es-CO" w:eastAsia="es-CO"/>
              </w:rPr>
            </w:pPr>
          </w:p>
        </w:tc>
      </w:tr>
    </w:tbl>
    <w:p w14:paraId="106FE46C" w14:textId="3C88FB4D" w:rsidR="00341232" w:rsidRDefault="00341232" w:rsidP="00E731C6">
      <w:pPr>
        <w:rPr>
          <w:rFonts w:ascii="Helvetica Light" w:hAnsi="Helvetica Light"/>
        </w:rPr>
      </w:pPr>
    </w:p>
    <w:p w14:paraId="2843EA1B" w14:textId="7EE35E7C" w:rsidR="00A64F4C" w:rsidRPr="00A64F4C" w:rsidRDefault="00A64F4C" w:rsidP="00A64F4C">
      <w:pPr>
        <w:pStyle w:val="Prrafodelista"/>
        <w:numPr>
          <w:ilvl w:val="0"/>
          <w:numId w:val="6"/>
        </w:numPr>
        <w:jc w:val="both"/>
        <w:rPr>
          <w:rFonts w:ascii="Helvetica" w:hAnsi="Helvetica"/>
          <w:b/>
          <w:bCs/>
        </w:rPr>
      </w:pPr>
      <w:r w:rsidRPr="00A64F4C">
        <w:rPr>
          <w:rFonts w:ascii="Helvetica" w:hAnsi="Helvetica"/>
          <w:b/>
          <w:bCs/>
        </w:rPr>
        <w:t>Sentencias proferidas por la Delegatura para Asuntos Jurisdiccionales relacionadas con servicios financieros del sector solidario.</w:t>
      </w:r>
    </w:p>
    <w:p w14:paraId="445EDA95" w14:textId="77777777" w:rsidR="00A64F4C" w:rsidRDefault="00A64F4C" w:rsidP="00A64F4C">
      <w:pPr>
        <w:jc w:val="both"/>
        <w:rPr>
          <w:rFonts w:ascii="Helvetica Light" w:hAnsi="Helvetica Light"/>
        </w:rPr>
      </w:pPr>
    </w:p>
    <w:p w14:paraId="2BA7A83B" w14:textId="7B366EA7" w:rsidR="00A64F4C" w:rsidRDefault="00A64F4C" w:rsidP="00534A9D">
      <w:pPr>
        <w:jc w:val="both"/>
        <w:rPr>
          <w:rFonts w:ascii="Helvetica Light" w:hAnsi="Helvetica Light" w:cs="Arial"/>
          <w:color w:val="000000"/>
        </w:rPr>
      </w:pPr>
      <w:r w:rsidRPr="00A64F4C">
        <w:rPr>
          <w:rFonts w:ascii="Helvetica Light" w:hAnsi="Helvetica Light" w:cs="Arial"/>
          <w:color w:val="000000"/>
        </w:rPr>
        <w:t xml:space="preserve">Entre el 1° de octubre de 2023 </w:t>
      </w:r>
      <w:r>
        <w:rPr>
          <w:rFonts w:ascii="Helvetica Light" w:hAnsi="Helvetica Light" w:cs="Arial"/>
          <w:color w:val="000000"/>
        </w:rPr>
        <w:t>y el</w:t>
      </w:r>
      <w:r w:rsidRPr="00A64F4C">
        <w:rPr>
          <w:rFonts w:ascii="Helvetica Light" w:hAnsi="Helvetica Light" w:cs="Arial"/>
          <w:color w:val="000000"/>
        </w:rPr>
        <w:t xml:space="preserve"> 31 de marzo de 2024, </w:t>
      </w:r>
      <w:r>
        <w:rPr>
          <w:rFonts w:ascii="Helvetica Light" w:hAnsi="Helvetica Light" w:cs="Arial"/>
          <w:color w:val="000000"/>
        </w:rPr>
        <w:t xml:space="preserve">la Delegatura para Asuntos Jurisdiccionales profirió </w:t>
      </w:r>
      <w:r w:rsidR="00534A9D">
        <w:rPr>
          <w:rFonts w:ascii="Helvetica Light" w:hAnsi="Helvetica Light" w:cs="Arial"/>
          <w:color w:val="000000"/>
        </w:rPr>
        <w:t>seis</w:t>
      </w:r>
      <w:r w:rsidR="0013221A">
        <w:rPr>
          <w:rFonts w:ascii="Helvetica Light" w:hAnsi="Helvetica Light" w:cs="Arial"/>
          <w:color w:val="000000"/>
        </w:rPr>
        <w:t xml:space="preserve"> (6) sentencias </w:t>
      </w:r>
      <w:r>
        <w:rPr>
          <w:rFonts w:ascii="Helvetica Light" w:hAnsi="Helvetica Light" w:cs="Arial"/>
          <w:color w:val="000000"/>
        </w:rPr>
        <w:t xml:space="preserve">relacionadas con servicios financieros del sector solidario, las cuales se detallan a continuación: </w:t>
      </w:r>
    </w:p>
    <w:p w14:paraId="0F84E8A2" w14:textId="77777777" w:rsidR="00A64F4C" w:rsidRDefault="00A64F4C" w:rsidP="00A64F4C">
      <w:pPr>
        <w:rPr>
          <w:rFonts w:ascii="Helvetica Light" w:hAnsi="Helvetica Light"/>
        </w:rPr>
      </w:pPr>
    </w:p>
    <w:tbl>
      <w:tblPr>
        <w:tblW w:w="10627" w:type="dxa"/>
        <w:jc w:val="center"/>
        <w:tblLayout w:type="fixed"/>
        <w:tblCellMar>
          <w:left w:w="70" w:type="dxa"/>
          <w:right w:w="70" w:type="dxa"/>
        </w:tblCellMar>
        <w:tblLook w:val="04A0" w:firstRow="1" w:lastRow="0" w:firstColumn="1" w:lastColumn="0" w:noHBand="0" w:noVBand="1"/>
      </w:tblPr>
      <w:tblGrid>
        <w:gridCol w:w="1277"/>
        <w:gridCol w:w="1270"/>
        <w:gridCol w:w="1276"/>
        <w:gridCol w:w="1842"/>
        <w:gridCol w:w="1418"/>
        <w:gridCol w:w="1563"/>
        <w:gridCol w:w="1981"/>
      </w:tblGrid>
      <w:tr w:rsidR="0013221A" w:rsidRPr="0013221A" w14:paraId="2F0F0971" w14:textId="77777777" w:rsidTr="0013221A">
        <w:trPr>
          <w:trHeight w:val="792"/>
          <w:tblHeader/>
          <w:jc w:val="center"/>
        </w:trPr>
        <w:tc>
          <w:tcPr>
            <w:tcW w:w="1277" w:type="dxa"/>
            <w:tcBorders>
              <w:top w:val="single" w:sz="4" w:space="0" w:color="auto"/>
              <w:left w:val="single" w:sz="4" w:space="0" w:color="auto"/>
              <w:bottom w:val="single" w:sz="4" w:space="0" w:color="auto"/>
              <w:right w:val="single" w:sz="4" w:space="0" w:color="auto"/>
            </w:tcBorders>
            <w:shd w:val="clear" w:color="000000" w:fill="C6D9F1" w:themeFill="text2" w:themeFillTint="33"/>
            <w:vAlign w:val="center"/>
            <w:hideMark/>
          </w:tcPr>
          <w:p w14:paraId="7E1D4F9B" w14:textId="30BC8FC5"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Radicado</w:t>
            </w:r>
          </w:p>
        </w:tc>
        <w:tc>
          <w:tcPr>
            <w:tcW w:w="1270"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4583FB4C" w14:textId="3CA8582B"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No. Sentencia</w:t>
            </w:r>
          </w:p>
        </w:tc>
        <w:tc>
          <w:tcPr>
            <w:tcW w:w="1276"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734C748A" w14:textId="673F6092"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Fecha</w:t>
            </w:r>
          </w:p>
        </w:tc>
        <w:tc>
          <w:tcPr>
            <w:tcW w:w="1842"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571FBB7B" w14:textId="69F540DE"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Causa</w:t>
            </w:r>
          </w:p>
        </w:tc>
        <w:tc>
          <w:tcPr>
            <w:tcW w:w="1418"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7768465B" w14:textId="47CAC3EB"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Derecho vulnerado</w:t>
            </w:r>
          </w:p>
        </w:tc>
        <w:tc>
          <w:tcPr>
            <w:tcW w:w="1563"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766007BE" w14:textId="65036854"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Tipología de la decisión</w:t>
            </w:r>
          </w:p>
        </w:tc>
        <w:tc>
          <w:tcPr>
            <w:tcW w:w="1981"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5D15F96F" w14:textId="3D7DA479" w:rsidR="00A64F4C" w:rsidRPr="0013221A" w:rsidRDefault="00A64F4C"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Demandado</w:t>
            </w:r>
          </w:p>
        </w:tc>
      </w:tr>
      <w:tr w:rsidR="0013221A" w:rsidRPr="0013221A" w14:paraId="2D7EF951" w14:textId="77777777" w:rsidTr="0013221A">
        <w:trPr>
          <w:trHeight w:val="828"/>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EEA0007"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22-180170</w:t>
            </w:r>
          </w:p>
        </w:tc>
        <w:tc>
          <w:tcPr>
            <w:tcW w:w="1270" w:type="dxa"/>
            <w:tcBorders>
              <w:top w:val="nil"/>
              <w:left w:val="nil"/>
              <w:bottom w:val="single" w:sz="4" w:space="0" w:color="auto"/>
              <w:right w:val="single" w:sz="4" w:space="0" w:color="auto"/>
            </w:tcBorders>
            <w:shd w:val="clear" w:color="auto" w:fill="auto"/>
            <w:vAlign w:val="center"/>
            <w:hideMark/>
          </w:tcPr>
          <w:p w14:paraId="220FED6D"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9756</w:t>
            </w:r>
          </w:p>
        </w:tc>
        <w:tc>
          <w:tcPr>
            <w:tcW w:w="1276" w:type="dxa"/>
            <w:tcBorders>
              <w:top w:val="nil"/>
              <w:left w:val="nil"/>
              <w:bottom w:val="single" w:sz="4" w:space="0" w:color="auto"/>
              <w:right w:val="single" w:sz="4" w:space="0" w:color="auto"/>
            </w:tcBorders>
            <w:shd w:val="clear" w:color="auto" w:fill="auto"/>
            <w:vAlign w:val="center"/>
            <w:hideMark/>
          </w:tcPr>
          <w:p w14:paraId="58144331"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12/10/2023</w:t>
            </w:r>
          </w:p>
        </w:tc>
        <w:tc>
          <w:tcPr>
            <w:tcW w:w="1842" w:type="dxa"/>
            <w:tcBorders>
              <w:top w:val="nil"/>
              <w:left w:val="nil"/>
              <w:bottom w:val="single" w:sz="4" w:space="0" w:color="auto"/>
              <w:right w:val="single" w:sz="4" w:space="0" w:color="auto"/>
            </w:tcBorders>
            <w:shd w:val="clear" w:color="auto" w:fill="auto"/>
            <w:vAlign w:val="center"/>
            <w:hideMark/>
          </w:tcPr>
          <w:p w14:paraId="1C628B6A" w14:textId="5D1BD7E5"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Afiliación y descuentos por nómina sin autorización</w:t>
            </w:r>
          </w:p>
        </w:tc>
        <w:tc>
          <w:tcPr>
            <w:tcW w:w="1418" w:type="dxa"/>
            <w:tcBorders>
              <w:top w:val="nil"/>
              <w:left w:val="nil"/>
              <w:bottom w:val="single" w:sz="4" w:space="0" w:color="auto"/>
              <w:right w:val="single" w:sz="4" w:space="0" w:color="auto"/>
            </w:tcBorders>
            <w:shd w:val="clear" w:color="auto" w:fill="auto"/>
            <w:vAlign w:val="center"/>
            <w:hideMark/>
          </w:tcPr>
          <w:p w14:paraId="0B8B2878" w14:textId="0D513245"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Información</w:t>
            </w:r>
          </w:p>
        </w:tc>
        <w:tc>
          <w:tcPr>
            <w:tcW w:w="1563" w:type="dxa"/>
            <w:tcBorders>
              <w:top w:val="nil"/>
              <w:left w:val="nil"/>
              <w:bottom w:val="single" w:sz="4" w:space="0" w:color="auto"/>
              <w:right w:val="single" w:sz="4" w:space="0" w:color="auto"/>
            </w:tcBorders>
            <w:shd w:val="clear" w:color="auto" w:fill="auto"/>
            <w:vAlign w:val="center"/>
            <w:hideMark/>
          </w:tcPr>
          <w:p w14:paraId="749C3797" w14:textId="19A13B28"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Ordena devolución dinero</w:t>
            </w:r>
          </w:p>
        </w:tc>
        <w:tc>
          <w:tcPr>
            <w:tcW w:w="1981" w:type="dxa"/>
            <w:tcBorders>
              <w:top w:val="nil"/>
              <w:left w:val="nil"/>
              <w:bottom w:val="single" w:sz="4" w:space="0" w:color="auto"/>
              <w:right w:val="single" w:sz="4" w:space="0" w:color="auto"/>
            </w:tcBorders>
            <w:shd w:val="clear" w:color="auto" w:fill="auto"/>
            <w:vAlign w:val="center"/>
            <w:hideMark/>
          </w:tcPr>
          <w:p w14:paraId="280D9E4F"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COOPERATIVA MULTIACTIVA UNIDA DE COLOMBIA COOPUNION</w:t>
            </w:r>
          </w:p>
        </w:tc>
      </w:tr>
      <w:tr w:rsidR="0013221A" w:rsidRPr="0013221A" w14:paraId="7CD68EF7" w14:textId="77777777" w:rsidTr="0013221A">
        <w:trPr>
          <w:trHeight w:val="828"/>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B2F703D"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22-218471</w:t>
            </w:r>
          </w:p>
        </w:tc>
        <w:tc>
          <w:tcPr>
            <w:tcW w:w="1270" w:type="dxa"/>
            <w:tcBorders>
              <w:top w:val="nil"/>
              <w:left w:val="nil"/>
              <w:bottom w:val="single" w:sz="4" w:space="0" w:color="auto"/>
              <w:right w:val="single" w:sz="4" w:space="0" w:color="auto"/>
            </w:tcBorders>
            <w:shd w:val="clear" w:color="auto" w:fill="auto"/>
            <w:vAlign w:val="center"/>
            <w:hideMark/>
          </w:tcPr>
          <w:p w14:paraId="65F1CFDD"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10799</w:t>
            </w:r>
          </w:p>
        </w:tc>
        <w:tc>
          <w:tcPr>
            <w:tcW w:w="1276" w:type="dxa"/>
            <w:tcBorders>
              <w:top w:val="nil"/>
              <w:left w:val="nil"/>
              <w:bottom w:val="single" w:sz="4" w:space="0" w:color="auto"/>
              <w:right w:val="single" w:sz="4" w:space="0" w:color="auto"/>
            </w:tcBorders>
            <w:shd w:val="clear" w:color="auto" w:fill="auto"/>
            <w:vAlign w:val="center"/>
            <w:hideMark/>
          </w:tcPr>
          <w:p w14:paraId="08C04D4C"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27/10/2023</w:t>
            </w:r>
          </w:p>
        </w:tc>
        <w:tc>
          <w:tcPr>
            <w:tcW w:w="1842" w:type="dxa"/>
            <w:tcBorders>
              <w:top w:val="nil"/>
              <w:left w:val="nil"/>
              <w:bottom w:val="single" w:sz="4" w:space="0" w:color="auto"/>
              <w:right w:val="single" w:sz="4" w:space="0" w:color="auto"/>
            </w:tcBorders>
            <w:shd w:val="clear" w:color="auto" w:fill="auto"/>
            <w:vAlign w:val="center"/>
            <w:hideMark/>
          </w:tcPr>
          <w:p w14:paraId="54620153" w14:textId="11D8C7EC" w:rsidR="00A64F4C" w:rsidRPr="0013221A" w:rsidRDefault="00A64F4C" w:rsidP="00A64F4C">
            <w:pPr>
              <w:jc w:val="center"/>
              <w:rPr>
                <w:rFonts w:ascii="Helvetica Light" w:eastAsia="Times New Roman" w:hAnsi="Helvetica Light" w:cs="Calibri"/>
                <w:color w:val="000000"/>
                <w:sz w:val="22"/>
                <w:szCs w:val="22"/>
                <w:lang w:val="es-CO" w:eastAsia="es-CO"/>
              </w:rPr>
            </w:pPr>
            <w:r w:rsidRPr="00534A9D">
              <w:rPr>
                <w:rFonts w:ascii="Helvetica Light" w:eastAsia="Times New Roman" w:hAnsi="Helvetica Light" w:cs="Calibri"/>
                <w:color w:val="000000"/>
                <w:sz w:val="22"/>
                <w:szCs w:val="22"/>
                <w:lang w:val="es-CO" w:eastAsia="es-CO"/>
              </w:rPr>
              <w:t>Cobro</w:t>
            </w:r>
            <w:r w:rsidR="00534A9D">
              <w:rPr>
                <w:rFonts w:ascii="Helvetica Light" w:eastAsia="Times New Roman" w:hAnsi="Helvetica Light" w:cs="Calibri"/>
                <w:color w:val="000000"/>
                <w:sz w:val="22"/>
                <w:szCs w:val="22"/>
                <w:lang w:val="es-CO" w:eastAsia="es-CO"/>
              </w:rPr>
              <w:t>s</w:t>
            </w:r>
            <w:r w:rsidRPr="00534A9D">
              <w:rPr>
                <w:rFonts w:ascii="Helvetica Light" w:eastAsia="Times New Roman" w:hAnsi="Helvetica Light" w:cs="Calibri"/>
                <w:color w:val="000000"/>
                <w:sz w:val="22"/>
                <w:szCs w:val="22"/>
                <w:lang w:val="es-CO" w:eastAsia="es-CO"/>
              </w:rPr>
              <w:t xml:space="preserve"> abusivo</w:t>
            </w:r>
            <w:r w:rsidR="00534A9D">
              <w:rPr>
                <w:rFonts w:ascii="Helvetica Light" w:eastAsia="Times New Roman" w:hAnsi="Helvetica Light" w:cs="Calibri"/>
                <w:color w:val="000000"/>
                <w:sz w:val="22"/>
                <w:szCs w:val="22"/>
                <w:lang w:val="es-CO" w:eastAsia="es-CO"/>
              </w:rPr>
              <w:t>s</w:t>
            </w:r>
          </w:p>
        </w:tc>
        <w:tc>
          <w:tcPr>
            <w:tcW w:w="1418" w:type="dxa"/>
            <w:tcBorders>
              <w:top w:val="nil"/>
              <w:left w:val="nil"/>
              <w:bottom w:val="single" w:sz="4" w:space="0" w:color="auto"/>
              <w:right w:val="single" w:sz="4" w:space="0" w:color="auto"/>
            </w:tcBorders>
            <w:shd w:val="clear" w:color="auto" w:fill="auto"/>
            <w:vAlign w:val="center"/>
            <w:hideMark/>
          </w:tcPr>
          <w:p w14:paraId="4ED9A724" w14:textId="11AF554B"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Información</w:t>
            </w:r>
          </w:p>
        </w:tc>
        <w:tc>
          <w:tcPr>
            <w:tcW w:w="1563" w:type="dxa"/>
            <w:tcBorders>
              <w:top w:val="nil"/>
              <w:left w:val="nil"/>
              <w:bottom w:val="single" w:sz="4" w:space="0" w:color="auto"/>
              <w:right w:val="single" w:sz="4" w:space="0" w:color="auto"/>
            </w:tcBorders>
            <w:shd w:val="clear" w:color="auto" w:fill="auto"/>
            <w:vAlign w:val="center"/>
            <w:hideMark/>
          </w:tcPr>
          <w:p w14:paraId="0EEDEFB1" w14:textId="68F926E4"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Ordena devolución dinero</w:t>
            </w:r>
          </w:p>
        </w:tc>
        <w:tc>
          <w:tcPr>
            <w:tcW w:w="1981" w:type="dxa"/>
            <w:tcBorders>
              <w:top w:val="nil"/>
              <w:left w:val="nil"/>
              <w:bottom w:val="single" w:sz="4" w:space="0" w:color="auto"/>
              <w:right w:val="single" w:sz="4" w:space="0" w:color="auto"/>
            </w:tcBorders>
            <w:shd w:val="clear" w:color="auto" w:fill="auto"/>
            <w:vAlign w:val="center"/>
            <w:hideMark/>
          </w:tcPr>
          <w:p w14:paraId="59110415"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COOPERATIVA COLOMBIANA MULTIACTIVA DE SERVICIOS LTDA COLMILCOOP</w:t>
            </w:r>
          </w:p>
        </w:tc>
      </w:tr>
      <w:tr w:rsidR="0013221A" w:rsidRPr="0013221A" w14:paraId="72B5C5AA" w14:textId="77777777" w:rsidTr="0013221A">
        <w:trPr>
          <w:trHeight w:val="828"/>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E3784CD"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22-228726</w:t>
            </w:r>
          </w:p>
        </w:tc>
        <w:tc>
          <w:tcPr>
            <w:tcW w:w="1270" w:type="dxa"/>
            <w:tcBorders>
              <w:top w:val="nil"/>
              <w:left w:val="nil"/>
              <w:bottom w:val="single" w:sz="4" w:space="0" w:color="auto"/>
              <w:right w:val="single" w:sz="4" w:space="0" w:color="auto"/>
            </w:tcBorders>
            <w:shd w:val="clear" w:color="auto" w:fill="auto"/>
            <w:vAlign w:val="center"/>
            <w:hideMark/>
          </w:tcPr>
          <w:p w14:paraId="42EE9C0B"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12667</w:t>
            </w:r>
          </w:p>
        </w:tc>
        <w:tc>
          <w:tcPr>
            <w:tcW w:w="1276" w:type="dxa"/>
            <w:tcBorders>
              <w:top w:val="nil"/>
              <w:left w:val="nil"/>
              <w:bottom w:val="single" w:sz="4" w:space="0" w:color="auto"/>
              <w:right w:val="single" w:sz="4" w:space="0" w:color="auto"/>
            </w:tcBorders>
            <w:shd w:val="clear" w:color="auto" w:fill="auto"/>
            <w:vAlign w:val="center"/>
            <w:hideMark/>
          </w:tcPr>
          <w:p w14:paraId="56E5173B"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30/11/2023</w:t>
            </w:r>
          </w:p>
        </w:tc>
        <w:tc>
          <w:tcPr>
            <w:tcW w:w="1842" w:type="dxa"/>
            <w:tcBorders>
              <w:top w:val="nil"/>
              <w:left w:val="nil"/>
              <w:bottom w:val="single" w:sz="4" w:space="0" w:color="auto"/>
              <w:right w:val="single" w:sz="4" w:space="0" w:color="auto"/>
            </w:tcBorders>
            <w:shd w:val="clear" w:color="auto" w:fill="auto"/>
            <w:vAlign w:val="center"/>
            <w:hideMark/>
          </w:tcPr>
          <w:p w14:paraId="2DB905FB" w14:textId="12033AB6"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Eliminación de la deuda</w:t>
            </w:r>
          </w:p>
          <w:p w14:paraId="2E2735F7"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314E1F05" w14:textId="4132E8E1"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Garantía</w:t>
            </w:r>
          </w:p>
        </w:tc>
        <w:tc>
          <w:tcPr>
            <w:tcW w:w="1563" w:type="dxa"/>
            <w:tcBorders>
              <w:top w:val="nil"/>
              <w:left w:val="nil"/>
              <w:bottom w:val="single" w:sz="4" w:space="0" w:color="auto"/>
              <w:right w:val="single" w:sz="4" w:space="0" w:color="auto"/>
            </w:tcBorders>
            <w:shd w:val="clear" w:color="auto" w:fill="auto"/>
            <w:vAlign w:val="center"/>
            <w:hideMark/>
          </w:tcPr>
          <w:p w14:paraId="1D08D7F0" w14:textId="2EA7A2F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Ajustes en la facturación</w:t>
            </w:r>
          </w:p>
        </w:tc>
        <w:tc>
          <w:tcPr>
            <w:tcW w:w="1981" w:type="dxa"/>
            <w:tcBorders>
              <w:top w:val="nil"/>
              <w:left w:val="nil"/>
              <w:bottom w:val="single" w:sz="4" w:space="0" w:color="auto"/>
              <w:right w:val="single" w:sz="4" w:space="0" w:color="auto"/>
            </w:tcBorders>
            <w:shd w:val="clear" w:color="auto" w:fill="auto"/>
            <w:vAlign w:val="center"/>
            <w:hideMark/>
          </w:tcPr>
          <w:p w14:paraId="7750D2D9"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COOPERATIVA MULTIACTIVA FORJAR SIGLA COOMFORJAR \"EN LIQUIDACION\"</w:t>
            </w:r>
          </w:p>
        </w:tc>
      </w:tr>
      <w:tr w:rsidR="0013221A" w:rsidRPr="0013221A" w14:paraId="1FEB1C83" w14:textId="77777777" w:rsidTr="0013221A">
        <w:trPr>
          <w:trHeight w:val="828"/>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26D0E1B"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22-238860</w:t>
            </w:r>
          </w:p>
        </w:tc>
        <w:tc>
          <w:tcPr>
            <w:tcW w:w="1270" w:type="dxa"/>
            <w:tcBorders>
              <w:top w:val="nil"/>
              <w:left w:val="nil"/>
              <w:bottom w:val="single" w:sz="4" w:space="0" w:color="auto"/>
              <w:right w:val="single" w:sz="4" w:space="0" w:color="auto"/>
            </w:tcBorders>
            <w:shd w:val="clear" w:color="auto" w:fill="auto"/>
            <w:vAlign w:val="center"/>
            <w:hideMark/>
          </w:tcPr>
          <w:p w14:paraId="6CC30BAE"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883</w:t>
            </w:r>
          </w:p>
        </w:tc>
        <w:tc>
          <w:tcPr>
            <w:tcW w:w="1276" w:type="dxa"/>
            <w:tcBorders>
              <w:top w:val="nil"/>
              <w:left w:val="nil"/>
              <w:bottom w:val="single" w:sz="4" w:space="0" w:color="auto"/>
              <w:right w:val="single" w:sz="4" w:space="0" w:color="auto"/>
            </w:tcBorders>
            <w:shd w:val="clear" w:color="auto" w:fill="auto"/>
            <w:vAlign w:val="center"/>
            <w:hideMark/>
          </w:tcPr>
          <w:p w14:paraId="11A4054E"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23/01/2024</w:t>
            </w:r>
          </w:p>
        </w:tc>
        <w:tc>
          <w:tcPr>
            <w:tcW w:w="1842" w:type="dxa"/>
            <w:tcBorders>
              <w:top w:val="nil"/>
              <w:left w:val="nil"/>
              <w:bottom w:val="single" w:sz="4" w:space="0" w:color="auto"/>
              <w:right w:val="single" w:sz="4" w:space="0" w:color="auto"/>
            </w:tcBorders>
            <w:shd w:val="clear" w:color="auto" w:fill="auto"/>
            <w:vAlign w:val="center"/>
            <w:hideMark/>
          </w:tcPr>
          <w:p w14:paraId="5C6C34CF" w14:textId="6555661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xml:space="preserve">Incumplimiento </w:t>
            </w:r>
            <w:r w:rsidR="0013221A" w:rsidRPr="0013221A">
              <w:rPr>
                <w:rFonts w:ascii="Helvetica Light" w:eastAsia="Times New Roman" w:hAnsi="Helvetica Light" w:cs="Calibri"/>
                <w:color w:val="000000"/>
                <w:sz w:val="22"/>
                <w:szCs w:val="22"/>
                <w:lang w:val="es-CO" w:eastAsia="es-CO"/>
              </w:rPr>
              <w:t>de</w:t>
            </w:r>
            <w:r w:rsidRPr="0013221A">
              <w:rPr>
                <w:rFonts w:ascii="Helvetica Light" w:eastAsia="Times New Roman" w:hAnsi="Helvetica Light" w:cs="Calibri"/>
                <w:color w:val="000000"/>
                <w:sz w:val="22"/>
                <w:szCs w:val="22"/>
                <w:lang w:val="es-CO" w:eastAsia="es-CO"/>
              </w:rPr>
              <w:t xml:space="preserve"> lo ofrecido</w:t>
            </w:r>
          </w:p>
        </w:tc>
        <w:tc>
          <w:tcPr>
            <w:tcW w:w="1418" w:type="dxa"/>
            <w:tcBorders>
              <w:top w:val="nil"/>
              <w:left w:val="nil"/>
              <w:bottom w:val="single" w:sz="4" w:space="0" w:color="auto"/>
              <w:right w:val="single" w:sz="4" w:space="0" w:color="auto"/>
            </w:tcBorders>
            <w:shd w:val="clear" w:color="auto" w:fill="auto"/>
            <w:vAlign w:val="center"/>
            <w:hideMark/>
          </w:tcPr>
          <w:p w14:paraId="3E32E13C" w14:textId="401C33BC"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Garantía</w:t>
            </w:r>
          </w:p>
        </w:tc>
        <w:tc>
          <w:tcPr>
            <w:tcW w:w="1563" w:type="dxa"/>
            <w:tcBorders>
              <w:top w:val="nil"/>
              <w:left w:val="nil"/>
              <w:bottom w:val="single" w:sz="4" w:space="0" w:color="auto"/>
              <w:right w:val="single" w:sz="4" w:space="0" w:color="auto"/>
            </w:tcBorders>
            <w:shd w:val="clear" w:color="auto" w:fill="auto"/>
            <w:vAlign w:val="center"/>
            <w:hideMark/>
          </w:tcPr>
          <w:p w14:paraId="40F79430" w14:textId="219D17E0"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Ordena devolución dinero</w:t>
            </w:r>
          </w:p>
        </w:tc>
        <w:tc>
          <w:tcPr>
            <w:tcW w:w="1981" w:type="dxa"/>
            <w:tcBorders>
              <w:top w:val="nil"/>
              <w:left w:val="nil"/>
              <w:bottom w:val="single" w:sz="4" w:space="0" w:color="auto"/>
              <w:right w:val="single" w:sz="4" w:space="0" w:color="auto"/>
            </w:tcBorders>
            <w:shd w:val="clear" w:color="auto" w:fill="auto"/>
            <w:vAlign w:val="center"/>
            <w:hideMark/>
          </w:tcPr>
          <w:p w14:paraId="74FCC3A9"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COOPERATIVA MULTIACTIVA DE TRANSPORTADORES OMEGA LTDA.</w:t>
            </w:r>
          </w:p>
        </w:tc>
      </w:tr>
      <w:tr w:rsidR="0013221A" w:rsidRPr="0013221A" w14:paraId="29E99194" w14:textId="77777777" w:rsidTr="0013221A">
        <w:trPr>
          <w:trHeight w:val="828"/>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9B199A5"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22-280337</w:t>
            </w:r>
          </w:p>
        </w:tc>
        <w:tc>
          <w:tcPr>
            <w:tcW w:w="1270" w:type="dxa"/>
            <w:tcBorders>
              <w:top w:val="nil"/>
              <w:left w:val="nil"/>
              <w:bottom w:val="single" w:sz="4" w:space="0" w:color="auto"/>
              <w:right w:val="single" w:sz="4" w:space="0" w:color="auto"/>
            </w:tcBorders>
            <w:shd w:val="clear" w:color="auto" w:fill="auto"/>
            <w:vAlign w:val="center"/>
            <w:hideMark/>
          </w:tcPr>
          <w:p w14:paraId="4D60106E"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1016</w:t>
            </w:r>
          </w:p>
        </w:tc>
        <w:tc>
          <w:tcPr>
            <w:tcW w:w="1276" w:type="dxa"/>
            <w:tcBorders>
              <w:top w:val="nil"/>
              <w:left w:val="nil"/>
              <w:bottom w:val="single" w:sz="4" w:space="0" w:color="auto"/>
              <w:right w:val="single" w:sz="4" w:space="0" w:color="auto"/>
            </w:tcBorders>
            <w:shd w:val="clear" w:color="auto" w:fill="auto"/>
            <w:vAlign w:val="center"/>
            <w:hideMark/>
          </w:tcPr>
          <w:p w14:paraId="79631C5B"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25/01/2024</w:t>
            </w:r>
          </w:p>
        </w:tc>
        <w:tc>
          <w:tcPr>
            <w:tcW w:w="1842" w:type="dxa"/>
            <w:tcBorders>
              <w:top w:val="nil"/>
              <w:left w:val="nil"/>
              <w:bottom w:val="single" w:sz="4" w:space="0" w:color="auto"/>
              <w:right w:val="single" w:sz="4" w:space="0" w:color="auto"/>
            </w:tcBorders>
            <w:shd w:val="clear" w:color="auto" w:fill="auto"/>
            <w:vAlign w:val="center"/>
            <w:hideMark/>
          </w:tcPr>
          <w:p w14:paraId="6A43CB70" w14:textId="3752315A"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xml:space="preserve">Terminación del vínculo contractual y devolución del </w:t>
            </w:r>
            <w:r w:rsidRPr="0013221A">
              <w:rPr>
                <w:rFonts w:ascii="Helvetica Light" w:eastAsia="Times New Roman" w:hAnsi="Helvetica Light" w:cs="Calibri"/>
                <w:color w:val="000000"/>
                <w:sz w:val="22"/>
                <w:szCs w:val="22"/>
                <w:lang w:val="es-CO" w:eastAsia="es-CO"/>
              </w:rPr>
              <w:lastRenderedPageBreak/>
              <w:t>dinero descontado de nómina</w:t>
            </w:r>
          </w:p>
        </w:tc>
        <w:tc>
          <w:tcPr>
            <w:tcW w:w="1418" w:type="dxa"/>
            <w:tcBorders>
              <w:top w:val="nil"/>
              <w:left w:val="nil"/>
              <w:bottom w:val="single" w:sz="4" w:space="0" w:color="auto"/>
              <w:right w:val="single" w:sz="4" w:space="0" w:color="auto"/>
            </w:tcBorders>
            <w:shd w:val="clear" w:color="auto" w:fill="auto"/>
            <w:vAlign w:val="center"/>
            <w:hideMark/>
          </w:tcPr>
          <w:p w14:paraId="45E0759B" w14:textId="44914A6C"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lastRenderedPageBreak/>
              <w:t>Protección contractual</w:t>
            </w:r>
          </w:p>
        </w:tc>
        <w:tc>
          <w:tcPr>
            <w:tcW w:w="1563" w:type="dxa"/>
            <w:tcBorders>
              <w:top w:val="nil"/>
              <w:left w:val="nil"/>
              <w:bottom w:val="single" w:sz="4" w:space="0" w:color="auto"/>
              <w:right w:val="single" w:sz="4" w:space="0" w:color="auto"/>
            </w:tcBorders>
            <w:shd w:val="clear" w:color="auto" w:fill="auto"/>
            <w:vAlign w:val="center"/>
            <w:hideMark/>
          </w:tcPr>
          <w:p w14:paraId="4F0CA70E" w14:textId="6071BF59"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Ordena cesación de cobro</w:t>
            </w:r>
          </w:p>
        </w:tc>
        <w:tc>
          <w:tcPr>
            <w:tcW w:w="1981" w:type="dxa"/>
            <w:tcBorders>
              <w:top w:val="nil"/>
              <w:left w:val="nil"/>
              <w:bottom w:val="single" w:sz="4" w:space="0" w:color="auto"/>
              <w:right w:val="single" w:sz="4" w:space="0" w:color="auto"/>
            </w:tcBorders>
            <w:shd w:val="clear" w:color="auto" w:fill="auto"/>
            <w:vAlign w:val="center"/>
            <w:hideMark/>
          </w:tcPr>
          <w:p w14:paraId="3371A592"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xml:space="preserve">COOPERATIVA MULTIACTIVA DE SOLIDARIDAD Y SERVICIOS </w:t>
            </w:r>
            <w:r w:rsidRPr="0013221A">
              <w:rPr>
                <w:rFonts w:ascii="Helvetica Light" w:eastAsia="Times New Roman" w:hAnsi="Helvetica Light" w:cs="Calibri"/>
                <w:color w:val="000000"/>
                <w:sz w:val="22"/>
                <w:szCs w:val="22"/>
                <w:lang w:val="es-CO" w:eastAsia="es-CO"/>
              </w:rPr>
              <w:lastRenderedPageBreak/>
              <w:t>SOCIALES - COOPSOLISERV S C</w:t>
            </w:r>
          </w:p>
        </w:tc>
      </w:tr>
      <w:tr w:rsidR="0013221A" w:rsidRPr="0013221A" w14:paraId="46F6ED22" w14:textId="77777777" w:rsidTr="0013221A">
        <w:trPr>
          <w:trHeight w:val="1104"/>
          <w:jc w:val="center"/>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082B5CF"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lastRenderedPageBreak/>
              <w:t>22-277093</w:t>
            </w:r>
          </w:p>
        </w:tc>
        <w:tc>
          <w:tcPr>
            <w:tcW w:w="1270" w:type="dxa"/>
            <w:tcBorders>
              <w:top w:val="nil"/>
              <w:left w:val="nil"/>
              <w:bottom w:val="single" w:sz="4" w:space="0" w:color="auto"/>
              <w:right w:val="single" w:sz="4" w:space="0" w:color="auto"/>
            </w:tcBorders>
            <w:shd w:val="clear" w:color="auto" w:fill="auto"/>
            <w:vAlign w:val="center"/>
            <w:hideMark/>
          </w:tcPr>
          <w:p w14:paraId="31856DEA"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1236</w:t>
            </w:r>
          </w:p>
        </w:tc>
        <w:tc>
          <w:tcPr>
            <w:tcW w:w="1276" w:type="dxa"/>
            <w:tcBorders>
              <w:top w:val="nil"/>
              <w:left w:val="nil"/>
              <w:bottom w:val="single" w:sz="4" w:space="0" w:color="auto"/>
              <w:right w:val="single" w:sz="4" w:space="0" w:color="auto"/>
            </w:tcBorders>
            <w:shd w:val="clear" w:color="auto" w:fill="auto"/>
            <w:vAlign w:val="center"/>
            <w:hideMark/>
          </w:tcPr>
          <w:p w14:paraId="66D667D3"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29/01/2024</w:t>
            </w:r>
          </w:p>
        </w:tc>
        <w:tc>
          <w:tcPr>
            <w:tcW w:w="1842" w:type="dxa"/>
            <w:tcBorders>
              <w:top w:val="nil"/>
              <w:left w:val="nil"/>
              <w:bottom w:val="single" w:sz="4" w:space="0" w:color="auto"/>
              <w:right w:val="single" w:sz="4" w:space="0" w:color="auto"/>
            </w:tcBorders>
            <w:shd w:val="clear" w:color="auto" w:fill="auto"/>
            <w:vAlign w:val="center"/>
            <w:hideMark/>
          </w:tcPr>
          <w:p w14:paraId="4A59E95F" w14:textId="673C22A2"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Contrato de mutuo y descuentos por nómina sin autorización</w:t>
            </w:r>
          </w:p>
        </w:tc>
        <w:tc>
          <w:tcPr>
            <w:tcW w:w="1418" w:type="dxa"/>
            <w:tcBorders>
              <w:top w:val="nil"/>
              <w:left w:val="nil"/>
              <w:bottom w:val="single" w:sz="4" w:space="0" w:color="auto"/>
              <w:right w:val="single" w:sz="4" w:space="0" w:color="auto"/>
            </w:tcBorders>
            <w:shd w:val="clear" w:color="auto" w:fill="auto"/>
            <w:vAlign w:val="center"/>
            <w:hideMark/>
          </w:tcPr>
          <w:p w14:paraId="765AD054" w14:textId="12C6D3AA"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Garantía</w:t>
            </w:r>
          </w:p>
        </w:tc>
        <w:tc>
          <w:tcPr>
            <w:tcW w:w="1563" w:type="dxa"/>
            <w:tcBorders>
              <w:top w:val="nil"/>
              <w:left w:val="nil"/>
              <w:bottom w:val="single" w:sz="4" w:space="0" w:color="auto"/>
              <w:right w:val="single" w:sz="4" w:space="0" w:color="auto"/>
            </w:tcBorders>
            <w:shd w:val="clear" w:color="auto" w:fill="auto"/>
            <w:vAlign w:val="center"/>
            <w:hideMark/>
          </w:tcPr>
          <w:p w14:paraId="14F71929" w14:textId="0E3EEBAC"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Cancelación del contrato y/o paz salvo</w:t>
            </w:r>
          </w:p>
        </w:tc>
        <w:tc>
          <w:tcPr>
            <w:tcW w:w="1981" w:type="dxa"/>
            <w:tcBorders>
              <w:top w:val="nil"/>
              <w:left w:val="nil"/>
              <w:bottom w:val="single" w:sz="4" w:space="0" w:color="auto"/>
              <w:right w:val="single" w:sz="4" w:space="0" w:color="auto"/>
            </w:tcBorders>
            <w:shd w:val="clear" w:color="auto" w:fill="auto"/>
            <w:vAlign w:val="center"/>
            <w:hideMark/>
          </w:tcPr>
          <w:p w14:paraId="668CE9EC" w14:textId="77777777" w:rsidR="00A64F4C" w:rsidRPr="0013221A" w:rsidRDefault="00A64F4C" w:rsidP="00A64F4C">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COOPERATIVA MULTIACTIVA DE SERVICIOS PARA PENSIONADOS Y RETIRADOS DE LA FUERZA PUBLICA Y DEL ESTADO</w:t>
            </w:r>
          </w:p>
        </w:tc>
      </w:tr>
    </w:tbl>
    <w:p w14:paraId="134F8B22" w14:textId="77777777" w:rsidR="00A64F4C" w:rsidRDefault="00A64F4C" w:rsidP="00A64F4C">
      <w:pPr>
        <w:rPr>
          <w:rFonts w:ascii="Helvetica Light" w:hAnsi="Helvetica Light"/>
        </w:rPr>
      </w:pPr>
    </w:p>
    <w:p w14:paraId="157175FF" w14:textId="7CE4C573" w:rsidR="0013221A" w:rsidRDefault="0013221A" w:rsidP="0013221A">
      <w:pPr>
        <w:jc w:val="both"/>
        <w:rPr>
          <w:rFonts w:ascii="Helvetica Light" w:hAnsi="Helvetica Light"/>
        </w:rPr>
      </w:pPr>
      <w:r>
        <w:rPr>
          <w:rFonts w:ascii="Helvetica Light" w:hAnsi="Helvetica Light"/>
        </w:rPr>
        <w:t xml:space="preserve">Igualmente, la citada Delegatura impuso </w:t>
      </w:r>
      <w:r w:rsidR="00534A9D">
        <w:rPr>
          <w:rFonts w:ascii="Helvetica Light" w:hAnsi="Helvetica Light"/>
        </w:rPr>
        <w:t>tres</w:t>
      </w:r>
      <w:r>
        <w:rPr>
          <w:rFonts w:ascii="Helvetica Light" w:hAnsi="Helvetica Light"/>
        </w:rPr>
        <w:t xml:space="preserve"> (3) sanciones relacionadas con servicios financieros prestados por entidades del sector solidario por incumplimiento a órdenes impartidas en sentencia, las cuales se detallan a continuación: </w:t>
      </w:r>
    </w:p>
    <w:p w14:paraId="1881EF0B" w14:textId="77777777" w:rsidR="00534A9D" w:rsidRDefault="00534A9D" w:rsidP="0013221A">
      <w:pPr>
        <w:jc w:val="both"/>
        <w:rPr>
          <w:rFonts w:ascii="Helvetica Light" w:hAnsi="Helvetica Light"/>
        </w:rPr>
      </w:pPr>
    </w:p>
    <w:tbl>
      <w:tblPr>
        <w:tblW w:w="10509" w:type="dxa"/>
        <w:tblInd w:w="-289" w:type="dxa"/>
        <w:tblCellMar>
          <w:left w:w="70" w:type="dxa"/>
          <w:right w:w="70" w:type="dxa"/>
        </w:tblCellMar>
        <w:tblLook w:val="04A0" w:firstRow="1" w:lastRow="0" w:firstColumn="1" w:lastColumn="0" w:noHBand="0" w:noVBand="1"/>
      </w:tblPr>
      <w:tblGrid>
        <w:gridCol w:w="1277"/>
        <w:gridCol w:w="1275"/>
        <w:gridCol w:w="1276"/>
        <w:gridCol w:w="2552"/>
        <w:gridCol w:w="1701"/>
        <w:gridCol w:w="2428"/>
      </w:tblGrid>
      <w:tr w:rsidR="00996C6F" w:rsidRPr="0013221A" w14:paraId="34DB3060" w14:textId="77777777" w:rsidTr="00996C6F">
        <w:trPr>
          <w:trHeight w:val="558"/>
        </w:trPr>
        <w:tc>
          <w:tcPr>
            <w:tcW w:w="1277" w:type="dxa"/>
            <w:tcBorders>
              <w:top w:val="single" w:sz="4" w:space="0" w:color="auto"/>
              <w:left w:val="single" w:sz="4" w:space="0" w:color="auto"/>
              <w:bottom w:val="single" w:sz="4" w:space="0" w:color="auto"/>
              <w:right w:val="single" w:sz="4" w:space="0" w:color="auto"/>
            </w:tcBorders>
            <w:shd w:val="clear" w:color="000000" w:fill="C6D9F1" w:themeFill="text2" w:themeFillTint="33"/>
            <w:vAlign w:val="center"/>
            <w:hideMark/>
          </w:tcPr>
          <w:p w14:paraId="66D22700" w14:textId="2756622A" w:rsidR="0013221A" w:rsidRPr="0013221A" w:rsidRDefault="0013221A"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Radicado</w:t>
            </w:r>
          </w:p>
        </w:tc>
        <w:tc>
          <w:tcPr>
            <w:tcW w:w="1275"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272F16E6" w14:textId="0C31FBFA" w:rsidR="0013221A" w:rsidRPr="0013221A" w:rsidRDefault="0013221A"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No. auto</w:t>
            </w:r>
          </w:p>
        </w:tc>
        <w:tc>
          <w:tcPr>
            <w:tcW w:w="1276"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548E3E9C" w14:textId="0477019C" w:rsidR="0013221A" w:rsidRPr="0013221A" w:rsidRDefault="0013221A"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Fecha</w:t>
            </w:r>
          </w:p>
        </w:tc>
        <w:tc>
          <w:tcPr>
            <w:tcW w:w="2552"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7004C454" w14:textId="6C7B25AF" w:rsidR="0013221A" w:rsidRPr="0013221A" w:rsidRDefault="0013221A"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Conducta</w:t>
            </w:r>
          </w:p>
        </w:tc>
        <w:tc>
          <w:tcPr>
            <w:tcW w:w="1701"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01ECCCAC" w14:textId="7A9CC029" w:rsidR="0013221A" w:rsidRPr="0013221A" w:rsidRDefault="0013221A"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Valor</w:t>
            </w:r>
          </w:p>
        </w:tc>
        <w:tc>
          <w:tcPr>
            <w:tcW w:w="2428" w:type="dxa"/>
            <w:tcBorders>
              <w:top w:val="single" w:sz="4" w:space="0" w:color="auto"/>
              <w:left w:val="nil"/>
              <w:bottom w:val="single" w:sz="4" w:space="0" w:color="auto"/>
              <w:right w:val="single" w:sz="4" w:space="0" w:color="auto"/>
            </w:tcBorders>
            <w:shd w:val="clear" w:color="000000" w:fill="C6D9F1" w:themeFill="text2" w:themeFillTint="33"/>
            <w:vAlign w:val="center"/>
            <w:hideMark/>
          </w:tcPr>
          <w:p w14:paraId="7474833A" w14:textId="06952A6C" w:rsidR="0013221A" w:rsidRPr="0013221A" w:rsidRDefault="0013221A" w:rsidP="009C2535">
            <w:pPr>
              <w:jc w:val="center"/>
              <w:rPr>
                <w:rFonts w:ascii="Helvetica Light" w:eastAsia="Times New Roman" w:hAnsi="Helvetica Light" w:cs="Arial"/>
                <w:b/>
                <w:bCs/>
                <w:color w:val="000000"/>
                <w:sz w:val="22"/>
                <w:szCs w:val="22"/>
                <w:lang w:val="es-CO" w:eastAsia="es-CO"/>
              </w:rPr>
            </w:pPr>
            <w:r w:rsidRPr="0013221A">
              <w:rPr>
                <w:rFonts w:ascii="Helvetica Light" w:eastAsia="Times New Roman" w:hAnsi="Helvetica Light" w:cs="Arial"/>
                <w:b/>
                <w:bCs/>
                <w:color w:val="000000"/>
                <w:sz w:val="22"/>
                <w:szCs w:val="22"/>
                <w:lang w:val="es-CO" w:eastAsia="es-CO"/>
              </w:rPr>
              <w:t>Multado</w:t>
            </w:r>
          </w:p>
        </w:tc>
      </w:tr>
      <w:tr w:rsidR="0013221A" w:rsidRPr="0013221A" w14:paraId="4A82C9E3" w14:textId="77777777" w:rsidTr="0013221A">
        <w:trPr>
          <w:trHeight w:val="11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7DB9749"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19-197347</w:t>
            </w:r>
          </w:p>
        </w:tc>
        <w:tc>
          <w:tcPr>
            <w:tcW w:w="1275" w:type="dxa"/>
            <w:tcBorders>
              <w:top w:val="nil"/>
              <w:left w:val="nil"/>
              <w:bottom w:val="single" w:sz="4" w:space="0" w:color="auto"/>
              <w:right w:val="single" w:sz="4" w:space="0" w:color="auto"/>
            </w:tcBorders>
            <w:shd w:val="clear" w:color="auto" w:fill="auto"/>
            <w:noWrap/>
            <w:vAlign w:val="center"/>
            <w:hideMark/>
          </w:tcPr>
          <w:p w14:paraId="1E479F24"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119128</w:t>
            </w:r>
          </w:p>
        </w:tc>
        <w:tc>
          <w:tcPr>
            <w:tcW w:w="1276" w:type="dxa"/>
            <w:tcBorders>
              <w:top w:val="nil"/>
              <w:left w:val="nil"/>
              <w:bottom w:val="single" w:sz="4" w:space="0" w:color="auto"/>
              <w:right w:val="single" w:sz="4" w:space="0" w:color="auto"/>
            </w:tcBorders>
            <w:shd w:val="clear" w:color="auto" w:fill="auto"/>
            <w:noWrap/>
            <w:vAlign w:val="center"/>
            <w:hideMark/>
          </w:tcPr>
          <w:p w14:paraId="3CB0F6D4"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20/10/2023</w:t>
            </w:r>
          </w:p>
        </w:tc>
        <w:tc>
          <w:tcPr>
            <w:tcW w:w="2552" w:type="dxa"/>
            <w:tcBorders>
              <w:top w:val="nil"/>
              <w:left w:val="nil"/>
              <w:bottom w:val="single" w:sz="4" w:space="0" w:color="auto"/>
              <w:right w:val="single" w:sz="4" w:space="0" w:color="auto"/>
            </w:tcBorders>
            <w:shd w:val="clear" w:color="auto" w:fill="auto"/>
            <w:noWrap/>
            <w:vAlign w:val="center"/>
            <w:hideMark/>
          </w:tcPr>
          <w:p w14:paraId="6BF9F92E" w14:textId="665F3088"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Arial"/>
                <w:color w:val="000000"/>
                <w:sz w:val="22"/>
                <w:szCs w:val="22"/>
                <w:lang w:val="es-CO" w:eastAsia="es-CO"/>
              </w:rPr>
              <w:t>Incumplimiento de sentencia</w:t>
            </w:r>
            <w:r w:rsidRPr="0013221A">
              <w:rPr>
                <w:rFonts w:ascii="Helvetica Light" w:eastAsia="Times New Roman" w:hAnsi="Helvetica Light" w:cs="Calibri"/>
                <w:color w:val="000000"/>
                <w:sz w:val="22"/>
                <w:szCs w:val="22"/>
                <w:lang w:val="es-CO" w:eastAsia="es-CO"/>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D95591" w14:textId="77777777" w:rsidR="0013221A" w:rsidRPr="0013221A" w:rsidRDefault="0013221A" w:rsidP="0013221A">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$ 4.931.982</w:t>
            </w:r>
          </w:p>
        </w:tc>
        <w:tc>
          <w:tcPr>
            <w:tcW w:w="2428" w:type="dxa"/>
            <w:tcBorders>
              <w:top w:val="nil"/>
              <w:left w:val="nil"/>
              <w:bottom w:val="single" w:sz="4" w:space="0" w:color="auto"/>
              <w:right w:val="single" w:sz="4" w:space="0" w:color="auto"/>
            </w:tcBorders>
            <w:shd w:val="clear" w:color="auto" w:fill="auto"/>
            <w:vAlign w:val="center"/>
            <w:hideMark/>
          </w:tcPr>
          <w:p w14:paraId="7FB47F40" w14:textId="4B677B5A" w:rsidR="0013221A" w:rsidRPr="0013221A" w:rsidRDefault="0013221A" w:rsidP="0013221A">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xml:space="preserve">COOPERATIVA SERVICIOS INTEGRALES COOPERATIVOS </w:t>
            </w:r>
            <w:r w:rsidR="003C5FAD">
              <w:rPr>
                <w:rFonts w:ascii="Helvetica Light" w:eastAsia="Times New Roman" w:hAnsi="Helvetica Light" w:cs="Calibri"/>
                <w:color w:val="000000"/>
                <w:sz w:val="22"/>
                <w:szCs w:val="22"/>
                <w:lang w:val="es-CO" w:eastAsia="es-CO"/>
              </w:rPr>
              <w:t xml:space="preserve">- </w:t>
            </w:r>
            <w:r w:rsidRPr="0013221A">
              <w:rPr>
                <w:rFonts w:ascii="Helvetica Light" w:eastAsia="Times New Roman" w:hAnsi="Helvetica Light" w:cs="Calibri"/>
                <w:color w:val="000000"/>
                <w:sz w:val="22"/>
                <w:szCs w:val="22"/>
                <w:lang w:val="es-CO" w:eastAsia="es-CO"/>
              </w:rPr>
              <w:t xml:space="preserve">SERINCOOP </w:t>
            </w:r>
          </w:p>
        </w:tc>
      </w:tr>
      <w:tr w:rsidR="0013221A" w:rsidRPr="0013221A" w14:paraId="01317B71" w14:textId="77777777" w:rsidTr="0013221A">
        <w:trPr>
          <w:trHeight w:val="81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687EB40"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22-159837</w:t>
            </w:r>
          </w:p>
        </w:tc>
        <w:tc>
          <w:tcPr>
            <w:tcW w:w="1275" w:type="dxa"/>
            <w:tcBorders>
              <w:top w:val="nil"/>
              <w:left w:val="nil"/>
              <w:bottom w:val="single" w:sz="4" w:space="0" w:color="auto"/>
              <w:right w:val="single" w:sz="4" w:space="0" w:color="auto"/>
            </w:tcBorders>
            <w:shd w:val="clear" w:color="auto" w:fill="auto"/>
            <w:noWrap/>
            <w:vAlign w:val="center"/>
            <w:hideMark/>
          </w:tcPr>
          <w:p w14:paraId="7758AB4C"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11511</w:t>
            </w:r>
          </w:p>
        </w:tc>
        <w:tc>
          <w:tcPr>
            <w:tcW w:w="1276" w:type="dxa"/>
            <w:tcBorders>
              <w:top w:val="nil"/>
              <w:left w:val="nil"/>
              <w:bottom w:val="single" w:sz="4" w:space="0" w:color="auto"/>
              <w:right w:val="single" w:sz="4" w:space="0" w:color="auto"/>
            </w:tcBorders>
            <w:shd w:val="clear" w:color="auto" w:fill="auto"/>
            <w:noWrap/>
            <w:vAlign w:val="center"/>
            <w:hideMark/>
          </w:tcPr>
          <w:p w14:paraId="1FB07387"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3/11/2023</w:t>
            </w:r>
          </w:p>
        </w:tc>
        <w:tc>
          <w:tcPr>
            <w:tcW w:w="2552" w:type="dxa"/>
            <w:tcBorders>
              <w:top w:val="nil"/>
              <w:left w:val="nil"/>
              <w:bottom w:val="single" w:sz="4" w:space="0" w:color="auto"/>
              <w:right w:val="single" w:sz="4" w:space="0" w:color="auto"/>
            </w:tcBorders>
            <w:shd w:val="clear" w:color="auto" w:fill="auto"/>
            <w:noWrap/>
            <w:vAlign w:val="center"/>
            <w:hideMark/>
          </w:tcPr>
          <w:p w14:paraId="4F4CD1B1" w14:textId="666E99A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Renuencia del demandado a corregir actos atentatorios y vulneradores de los derechos de los consumidores </w:t>
            </w:r>
          </w:p>
        </w:tc>
        <w:tc>
          <w:tcPr>
            <w:tcW w:w="1701" w:type="dxa"/>
            <w:tcBorders>
              <w:top w:val="nil"/>
              <w:left w:val="nil"/>
              <w:bottom w:val="single" w:sz="4" w:space="0" w:color="auto"/>
              <w:right w:val="single" w:sz="4" w:space="0" w:color="auto"/>
            </w:tcBorders>
            <w:shd w:val="clear" w:color="auto" w:fill="auto"/>
            <w:noWrap/>
            <w:vAlign w:val="center"/>
            <w:hideMark/>
          </w:tcPr>
          <w:p w14:paraId="5115505C" w14:textId="77777777" w:rsidR="0013221A" w:rsidRPr="0013221A" w:rsidRDefault="0013221A" w:rsidP="0013221A">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$ 1.160.000</w:t>
            </w:r>
          </w:p>
        </w:tc>
        <w:tc>
          <w:tcPr>
            <w:tcW w:w="2428" w:type="dxa"/>
            <w:tcBorders>
              <w:top w:val="nil"/>
              <w:left w:val="nil"/>
              <w:bottom w:val="single" w:sz="4" w:space="0" w:color="auto"/>
              <w:right w:val="single" w:sz="4" w:space="0" w:color="auto"/>
            </w:tcBorders>
            <w:shd w:val="clear" w:color="auto" w:fill="auto"/>
            <w:vAlign w:val="center"/>
            <w:hideMark/>
          </w:tcPr>
          <w:p w14:paraId="39B8CA31" w14:textId="77777777" w:rsidR="0013221A" w:rsidRPr="0013221A" w:rsidRDefault="0013221A" w:rsidP="0013221A">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COOPERATIVA MULTIACTIVA DE SOLIDARIDAD Y SERVICIOS SOCIALES - COOPSOLISERV S C</w:t>
            </w:r>
          </w:p>
        </w:tc>
      </w:tr>
      <w:tr w:rsidR="0013221A" w:rsidRPr="0013221A" w14:paraId="16EA6F3B" w14:textId="77777777" w:rsidTr="0013221A">
        <w:trPr>
          <w:trHeight w:val="82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2595605"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21-303152</w:t>
            </w:r>
          </w:p>
        </w:tc>
        <w:tc>
          <w:tcPr>
            <w:tcW w:w="1275" w:type="dxa"/>
            <w:tcBorders>
              <w:top w:val="nil"/>
              <w:left w:val="nil"/>
              <w:bottom w:val="single" w:sz="4" w:space="0" w:color="auto"/>
              <w:right w:val="single" w:sz="4" w:space="0" w:color="auto"/>
            </w:tcBorders>
            <w:shd w:val="clear" w:color="auto" w:fill="auto"/>
            <w:noWrap/>
            <w:vAlign w:val="center"/>
            <w:hideMark/>
          </w:tcPr>
          <w:p w14:paraId="1845F1F6"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26650</w:t>
            </w:r>
          </w:p>
        </w:tc>
        <w:tc>
          <w:tcPr>
            <w:tcW w:w="1276" w:type="dxa"/>
            <w:tcBorders>
              <w:top w:val="nil"/>
              <w:left w:val="nil"/>
              <w:bottom w:val="single" w:sz="4" w:space="0" w:color="auto"/>
              <w:right w:val="single" w:sz="4" w:space="0" w:color="auto"/>
            </w:tcBorders>
            <w:shd w:val="clear" w:color="auto" w:fill="auto"/>
            <w:noWrap/>
            <w:vAlign w:val="center"/>
            <w:hideMark/>
          </w:tcPr>
          <w:p w14:paraId="4E6017C6" w14:textId="77777777"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29/02/2024</w:t>
            </w:r>
          </w:p>
        </w:tc>
        <w:tc>
          <w:tcPr>
            <w:tcW w:w="2552" w:type="dxa"/>
            <w:tcBorders>
              <w:top w:val="nil"/>
              <w:left w:val="nil"/>
              <w:bottom w:val="single" w:sz="4" w:space="0" w:color="auto"/>
              <w:right w:val="single" w:sz="4" w:space="0" w:color="auto"/>
            </w:tcBorders>
            <w:shd w:val="clear" w:color="auto" w:fill="auto"/>
            <w:noWrap/>
            <w:vAlign w:val="center"/>
            <w:hideMark/>
          </w:tcPr>
          <w:p w14:paraId="577CE39D" w14:textId="79765020" w:rsidR="0013221A" w:rsidRPr="0013221A" w:rsidRDefault="0013221A" w:rsidP="009C2535">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Arial"/>
                <w:color w:val="000000"/>
                <w:sz w:val="22"/>
                <w:szCs w:val="22"/>
                <w:lang w:val="es-CO" w:eastAsia="es-CO"/>
              </w:rPr>
              <w:t>Incumplimiento de sentencia</w:t>
            </w:r>
            <w:r w:rsidRPr="0013221A">
              <w:rPr>
                <w:rFonts w:ascii="Helvetica Light" w:eastAsia="Times New Roman" w:hAnsi="Helvetica Light" w:cs="Calibri"/>
                <w:color w:val="000000"/>
                <w:sz w:val="22"/>
                <w:szCs w:val="22"/>
                <w:lang w:val="es-CO" w:eastAsia="es-CO"/>
              </w:rPr>
              <w:t>  </w:t>
            </w:r>
          </w:p>
        </w:tc>
        <w:tc>
          <w:tcPr>
            <w:tcW w:w="1701" w:type="dxa"/>
            <w:tcBorders>
              <w:top w:val="nil"/>
              <w:left w:val="nil"/>
              <w:bottom w:val="single" w:sz="4" w:space="0" w:color="auto"/>
              <w:right w:val="single" w:sz="4" w:space="0" w:color="auto"/>
            </w:tcBorders>
            <w:shd w:val="clear" w:color="auto" w:fill="auto"/>
            <w:noWrap/>
            <w:vAlign w:val="center"/>
            <w:hideMark/>
          </w:tcPr>
          <w:p w14:paraId="6D34F252" w14:textId="77777777" w:rsidR="0013221A" w:rsidRPr="0013221A" w:rsidRDefault="0013221A" w:rsidP="0013221A">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$ 6.131.418</w:t>
            </w:r>
          </w:p>
        </w:tc>
        <w:tc>
          <w:tcPr>
            <w:tcW w:w="2428" w:type="dxa"/>
            <w:tcBorders>
              <w:top w:val="nil"/>
              <w:left w:val="nil"/>
              <w:bottom w:val="single" w:sz="4" w:space="0" w:color="auto"/>
              <w:right w:val="single" w:sz="4" w:space="0" w:color="auto"/>
            </w:tcBorders>
            <w:shd w:val="clear" w:color="auto" w:fill="auto"/>
            <w:vAlign w:val="center"/>
            <w:hideMark/>
          </w:tcPr>
          <w:p w14:paraId="23413066" w14:textId="2EB6FD0A" w:rsidR="0013221A" w:rsidRPr="0013221A" w:rsidRDefault="0013221A" w:rsidP="0013221A">
            <w:pPr>
              <w:jc w:val="center"/>
              <w:rPr>
                <w:rFonts w:ascii="Helvetica Light" w:eastAsia="Times New Roman" w:hAnsi="Helvetica Light" w:cs="Calibri"/>
                <w:color w:val="000000"/>
                <w:sz w:val="22"/>
                <w:szCs w:val="22"/>
                <w:lang w:val="es-CO" w:eastAsia="es-CO"/>
              </w:rPr>
            </w:pPr>
            <w:r w:rsidRPr="0013221A">
              <w:rPr>
                <w:rFonts w:ascii="Helvetica Light" w:eastAsia="Times New Roman" w:hAnsi="Helvetica Light" w:cs="Calibri"/>
                <w:color w:val="000000"/>
                <w:sz w:val="22"/>
                <w:szCs w:val="22"/>
                <w:lang w:val="es-CO" w:eastAsia="es-CO"/>
              </w:rPr>
              <w:t xml:space="preserve">COOPERATIVA MULTIACTIVA VISION Y TALENTO </w:t>
            </w:r>
            <w:r w:rsidR="003C5FAD">
              <w:rPr>
                <w:rFonts w:ascii="Helvetica Light" w:eastAsia="Times New Roman" w:hAnsi="Helvetica Light" w:cs="Calibri"/>
                <w:color w:val="000000"/>
                <w:sz w:val="22"/>
                <w:szCs w:val="22"/>
                <w:lang w:val="es-CO" w:eastAsia="es-CO"/>
              </w:rPr>
              <w:t>-</w:t>
            </w:r>
            <w:r w:rsidRPr="0013221A">
              <w:rPr>
                <w:rFonts w:ascii="Helvetica Light" w:eastAsia="Times New Roman" w:hAnsi="Helvetica Light" w:cs="Calibri"/>
                <w:color w:val="000000"/>
                <w:sz w:val="22"/>
                <w:szCs w:val="22"/>
                <w:lang w:val="es-CO" w:eastAsia="es-CO"/>
              </w:rPr>
              <w:t xml:space="preserve"> COOPMULVITAL</w:t>
            </w:r>
          </w:p>
        </w:tc>
      </w:tr>
    </w:tbl>
    <w:p w14:paraId="29621C14" w14:textId="77777777" w:rsidR="0013221A" w:rsidRPr="00A64F4C" w:rsidRDefault="0013221A" w:rsidP="0013221A">
      <w:pPr>
        <w:jc w:val="both"/>
        <w:rPr>
          <w:rFonts w:ascii="Helvetica Light" w:hAnsi="Helvetica Light"/>
        </w:rPr>
      </w:pPr>
    </w:p>
    <w:sectPr w:rsidR="0013221A" w:rsidRPr="00A64F4C" w:rsidSect="00CF213E">
      <w:headerReference w:type="even" r:id="rId8"/>
      <w:headerReference w:type="default" r:id="rId9"/>
      <w:footerReference w:type="even" r:id="rId10"/>
      <w:footerReference w:type="default" r:id="rId11"/>
      <w:headerReference w:type="first" r:id="rId12"/>
      <w:footerReference w:type="first" r:id="rId13"/>
      <w:pgSz w:w="12240" w:h="15840"/>
      <w:pgMar w:top="1985" w:right="1134" w:bottom="1418" w:left="1134"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50A55" w14:textId="77777777" w:rsidR="00AC5C32" w:rsidRDefault="00AC5C32" w:rsidP="000966A5">
      <w:r>
        <w:separator/>
      </w:r>
    </w:p>
  </w:endnote>
  <w:endnote w:type="continuationSeparator" w:id="0">
    <w:p w14:paraId="78CB9A94" w14:textId="77777777" w:rsidR="00AC5C32" w:rsidRDefault="00AC5C32"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Light">
    <w:altName w:val="HELVETICA LIGHT"/>
    <w:panose1 w:val="020B0500000000000000"/>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5D42" w14:textId="77777777" w:rsidR="00154815" w:rsidRDefault="001548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26BD" w14:textId="77777777" w:rsidR="00154815" w:rsidRDefault="001548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92E4" w14:textId="77777777" w:rsidR="00154815" w:rsidRDefault="001548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AE61" w14:textId="77777777" w:rsidR="00AC5C32" w:rsidRDefault="00AC5C32" w:rsidP="000966A5">
      <w:r>
        <w:separator/>
      </w:r>
    </w:p>
  </w:footnote>
  <w:footnote w:type="continuationSeparator" w:id="0">
    <w:p w14:paraId="79732DE5" w14:textId="77777777" w:rsidR="00AC5C32" w:rsidRDefault="00AC5C32"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1A7D0B72" w:rsidR="000966A5" w:rsidRDefault="00000000">
    <w:pPr>
      <w:pStyle w:val="Encabezado"/>
    </w:pPr>
    <w:r>
      <w:rPr>
        <w:noProof/>
        <w:lang w:val="es-CO" w:eastAsia="es-CO"/>
      </w:rPr>
      <w:pict w14:anchorId="4A2C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1" o:spid="_x0000_s1027" type="#_x0000_t75" alt="" style="position:absolute;margin-left:0;margin-top:0;width:612.5pt;height:792.5pt;z-index:-251654144;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B871" w14:textId="34C652F0" w:rsidR="000966A5" w:rsidRDefault="00000000">
    <w:pPr>
      <w:pStyle w:val="Encabezado"/>
    </w:pPr>
    <w:r>
      <w:rPr>
        <w:noProof/>
        <w:lang w:val="es-CO" w:eastAsia="es-CO"/>
      </w:rPr>
      <w:pict w14:anchorId="3768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2" o:spid="_x0000_s1026" type="#_x0000_t75" alt="" style="position:absolute;margin-left:0;margin-top:0;width:612.5pt;height:792.5pt;z-index:-251653120;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r w:rsidR="00D82457">
      <w:rPr>
        <w:noProof/>
        <w:lang w:val="es-CO" w:eastAsia="es-CO"/>
      </w:rPr>
      <w:drawing>
        <wp:anchor distT="0" distB="0" distL="114300" distR="114300" simplePos="0" relativeHeight="251660288" behindDoc="1" locked="0" layoutInCell="1" allowOverlap="1" wp14:anchorId="4BCF590B" wp14:editId="1ACC2880">
          <wp:simplePos x="0" y="0"/>
          <wp:positionH relativeFrom="page">
            <wp:align>right</wp:align>
          </wp:positionH>
          <wp:positionV relativeFrom="paragraph">
            <wp:posOffset>-449580</wp:posOffset>
          </wp:positionV>
          <wp:extent cx="7762714" cy="1004420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EPT 19 2022_MEMBRETE SEPT.jpg"/>
                  <pic:cNvPicPr/>
                </pic:nvPicPr>
                <pic:blipFill>
                  <a:blip r:embed="rId2">
                    <a:extLst>
                      <a:ext uri="{28A0092B-C50C-407E-A947-70E740481C1C}">
                        <a14:useLocalDpi xmlns:a14="http://schemas.microsoft.com/office/drawing/2010/main" val="0"/>
                      </a:ext>
                    </a:extLst>
                  </a:blip>
                  <a:stretch>
                    <a:fillRect/>
                  </a:stretch>
                </pic:blipFill>
                <pic:spPr>
                  <a:xfrm>
                    <a:off x="0" y="0"/>
                    <a:ext cx="7762714" cy="1004420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4427018F" w:rsidR="000966A5" w:rsidRDefault="00000000">
    <w:pPr>
      <w:pStyle w:val="Encabezado"/>
    </w:pPr>
    <w:r>
      <w:rPr>
        <w:noProof/>
        <w:lang w:val="es-CO" w:eastAsia="es-CO"/>
      </w:rPr>
      <w:pict w14:anchorId="2773A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0" o:spid="_x0000_s1025" type="#_x0000_t75" alt="" style="position:absolute;margin-left:0;margin-top:0;width:612.5pt;height:792.5pt;z-index:-251655168;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48CE4EBB"/>
    <w:multiLevelType w:val="hybridMultilevel"/>
    <w:tmpl w:val="24541746"/>
    <w:lvl w:ilvl="0" w:tplc="CE88B174">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5"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71704682">
    <w:abstractNumId w:val="1"/>
  </w:num>
  <w:num w:numId="2" w16cid:durableId="264968498">
    <w:abstractNumId w:val="4"/>
  </w:num>
  <w:num w:numId="3" w16cid:durableId="2131052255">
    <w:abstractNumId w:val="2"/>
  </w:num>
  <w:num w:numId="4" w16cid:durableId="693843173">
    <w:abstractNumId w:val="5"/>
  </w:num>
  <w:num w:numId="5" w16cid:durableId="1389963483">
    <w:abstractNumId w:val="0"/>
  </w:num>
  <w:num w:numId="6" w16cid:durableId="174636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3506A"/>
    <w:rsid w:val="0006648C"/>
    <w:rsid w:val="000718D3"/>
    <w:rsid w:val="000966A5"/>
    <w:rsid w:val="000C4640"/>
    <w:rsid w:val="0013221A"/>
    <w:rsid w:val="00154815"/>
    <w:rsid w:val="00190F5E"/>
    <w:rsid w:val="001C01E7"/>
    <w:rsid w:val="001F6914"/>
    <w:rsid w:val="00204B82"/>
    <w:rsid w:val="00215784"/>
    <w:rsid w:val="002245DE"/>
    <w:rsid w:val="00341232"/>
    <w:rsid w:val="003842A0"/>
    <w:rsid w:val="003A3B77"/>
    <w:rsid w:val="003C2B4D"/>
    <w:rsid w:val="003C5FAD"/>
    <w:rsid w:val="003D2795"/>
    <w:rsid w:val="003D7E78"/>
    <w:rsid w:val="003F74FA"/>
    <w:rsid w:val="00466A7F"/>
    <w:rsid w:val="0048435B"/>
    <w:rsid w:val="004E1DAB"/>
    <w:rsid w:val="004F7FD1"/>
    <w:rsid w:val="005158CE"/>
    <w:rsid w:val="00534A9D"/>
    <w:rsid w:val="005406B6"/>
    <w:rsid w:val="00577C5D"/>
    <w:rsid w:val="005E08CE"/>
    <w:rsid w:val="00641F5B"/>
    <w:rsid w:val="00662AFF"/>
    <w:rsid w:val="006B739A"/>
    <w:rsid w:val="00763004"/>
    <w:rsid w:val="007A446E"/>
    <w:rsid w:val="007C061D"/>
    <w:rsid w:val="008B4F07"/>
    <w:rsid w:val="008E7518"/>
    <w:rsid w:val="00931E51"/>
    <w:rsid w:val="009507A8"/>
    <w:rsid w:val="009878AD"/>
    <w:rsid w:val="009937ED"/>
    <w:rsid w:val="00996C6F"/>
    <w:rsid w:val="009C451C"/>
    <w:rsid w:val="00A64F4C"/>
    <w:rsid w:val="00AC5C32"/>
    <w:rsid w:val="00AE68EA"/>
    <w:rsid w:val="00B0094F"/>
    <w:rsid w:val="00B74FFA"/>
    <w:rsid w:val="00CA04B4"/>
    <w:rsid w:val="00CF213E"/>
    <w:rsid w:val="00D82457"/>
    <w:rsid w:val="00DD5223"/>
    <w:rsid w:val="00DE5EF7"/>
    <w:rsid w:val="00DF1A43"/>
    <w:rsid w:val="00E433DC"/>
    <w:rsid w:val="00E4797E"/>
    <w:rsid w:val="00E731C6"/>
    <w:rsid w:val="00EB45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paragraph" w:styleId="NormalWeb">
    <w:name w:val="Normal (Web)"/>
    <w:basedOn w:val="Normal"/>
    <w:uiPriority w:val="99"/>
    <w:unhideWhenUsed/>
    <w:rsid w:val="00662AFF"/>
    <w:pPr>
      <w:spacing w:before="100" w:beforeAutospacing="1" w:after="100" w:afterAutospacing="1"/>
    </w:pPr>
    <w:rPr>
      <w:rFonts w:ascii="Times New Roman" w:eastAsia="MS Mincho"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61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0D0E-98F1-4371-92DF-67EB0C83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Sandra Elizabeth Tovar Guerrero</cp:lastModifiedBy>
  <cp:revision>2</cp:revision>
  <cp:lastPrinted>2024-04-22T15:30:00Z</cp:lastPrinted>
  <dcterms:created xsi:type="dcterms:W3CDTF">2024-05-28T16:05:00Z</dcterms:created>
  <dcterms:modified xsi:type="dcterms:W3CDTF">2024-05-28T16:05:00Z</dcterms:modified>
</cp:coreProperties>
</file>